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A1FC57" w14:textId="5C16089C" w:rsidR="6E705692" w:rsidRDefault="6E705692" w:rsidP="48043C77">
      <w:pPr>
        <w:rPr>
          <w:b/>
          <w:bCs/>
        </w:rPr>
      </w:pPr>
      <w:r w:rsidRPr="48043C77">
        <w:rPr>
          <w:b/>
          <w:bCs/>
        </w:rPr>
        <w:t xml:space="preserve">Purchase Workflow </w:t>
      </w:r>
      <w:r w:rsidR="51B7D5C0" w:rsidRPr="48043C77">
        <w:rPr>
          <w:b/>
          <w:bCs/>
        </w:rPr>
        <w:t xml:space="preserve">- Vendor Registration and Request for Purchase of </w:t>
      </w:r>
      <w:r w:rsidR="3C46153D" w:rsidRPr="48043C77">
        <w:rPr>
          <w:b/>
          <w:bCs/>
        </w:rPr>
        <w:t>Service</w:t>
      </w:r>
      <w:r w:rsidR="0C273DC8" w:rsidRPr="48043C77">
        <w:rPr>
          <w:b/>
          <w:bCs/>
        </w:rPr>
        <w:t>s</w:t>
      </w:r>
    </w:p>
    <w:p w14:paraId="788D03D2" w14:textId="48C1D387" w:rsidR="00690C4C" w:rsidRDefault="2465D231" w:rsidP="7980176A">
      <w:r>
        <w:t xml:space="preserve">Note: These requirements are closely linked to the </w:t>
      </w:r>
      <w:r w:rsidR="468ED28C">
        <w:t>Service</w:t>
      </w:r>
      <w:r>
        <w:t xml:space="preserve"> Master and to Vendor Management.</w:t>
      </w:r>
    </w:p>
    <w:p w14:paraId="6418DE69" w14:textId="7AC0D650" w:rsidR="00690C4C" w:rsidRDefault="00690C4C" w:rsidP="7980176A">
      <w:pPr>
        <w:rPr>
          <w:b/>
          <w:bCs/>
        </w:rPr>
      </w:pPr>
    </w:p>
    <w:p w14:paraId="35136A72" w14:textId="4B68D230" w:rsidR="2465D231" w:rsidRDefault="2465D231" w:rsidP="48043C77">
      <w:pPr>
        <w:rPr>
          <w:b/>
          <w:bCs/>
        </w:rPr>
      </w:pPr>
      <w:r w:rsidRPr="48043C77">
        <w:rPr>
          <w:b/>
          <w:bCs/>
        </w:rPr>
        <w:t xml:space="preserve">Requesting Purchase of a </w:t>
      </w:r>
      <w:r w:rsidR="5CD65812" w:rsidRPr="48043C77">
        <w:rPr>
          <w:b/>
          <w:bCs/>
          <w:color w:val="3A7C22" w:themeColor="accent6" w:themeShade="BF"/>
        </w:rPr>
        <w:t>Service</w:t>
      </w:r>
    </w:p>
    <w:p w14:paraId="7919023D" w14:textId="56278674" w:rsidR="2465D231" w:rsidRDefault="717E4488" w:rsidP="7980176A">
      <w:r>
        <w:t xml:space="preserve">All Service requests should go through the </w:t>
      </w:r>
      <w:r w:rsidRPr="48043C77">
        <w:rPr>
          <w:b/>
          <w:bCs/>
          <w:color w:val="3A7C22" w:themeColor="accent6" w:themeShade="BF"/>
        </w:rPr>
        <w:t>Work Order</w:t>
      </w:r>
      <w:r w:rsidRPr="48043C77">
        <w:rPr>
          <w:color w:val="3A7C22" w:themeColor="accent6" w:themeShade="BF"/>
        </w:rPr>
        <w:t xml:space="preserve"> </w:t>
      </w:r>
      <w:r>
        <w:t>workflow</w:t>
      </w:r>
    </w:p>
    <w:p w14:paraId="68E8C429" w14:textId="374CB077" w:rsidR="4C6CDE27" w:rsidRDefault="4C6CDE27" w:rsidP="7980176A">
      <w:r>
        <w:t>Overall Requirements:</w:t>
      </w:r>
    </w:p>
    <w:p w14:paraId="0E00628E" w14:textId="4AA8A84D" w:rsidR="4C6CDE27" w:rsidRDefault="4C6CDE27" w:rsidP="7980176A">
      <w:pPr>
        <w:pStyle w:val="ListParagraph"/>
        <w:numPr>
          <w:ilvl w:val="0"/>
          <w:numId w:val="1"/>
        </w:numPr>
      </w:pPr>
      <w:r>
        <w:t xml:space="preserve">All vendors need to be assessed by QA. </w:t>
      </w:r>
      <w:proofErr w:type="spellStart"/>
      <w:r>
        <w:t>GxP</w:t>
      </w:r>
      <w:proofErr w:type="spellEnd"/>
      <w:r>
        <w:t xml:space="preserve"> vs non-</w:t>
      </w:r>
      <w:proofErr w:type="spellStart"/>
      <w:r>
        <w:t>GxP</w:t>
      </w:r>
      <w:proofErr w:type="spellEnd"/>
    </w:p>
    <w:p w14:paraId="5AF55BF8" w14:textId="4E44D783" w:rsidR="4C6CDE27" w:rsidRDefault="4C6CDE27" w:rsidP="7980176A">
      <w:pPr>
        <w:pStyle w:val="ListParagraph"/>
        <w:numPr>
          <w:ilvl w:val="0"/>
          <w:numId w:val="1"/>
        </w:numPr>
      </w:pPr>
      <w:commentRangeStart w:id="0"/>
      <w:commentRangeStart w:id="1"/>
      <w:r>
        <w:t>All s</w:t>
      </w:r>
      <w:r w:rsidR="7522E126">
        <w:t>ervices</w:t>
      </w:r>
      <w:r>
        <w:t xml:space="preserve"> need </w:t>
      </w:r>
      <w:commentRangeEnd w:id="0"/>
      <w:r>
        <w:commentReference w:id="0"/>
      </w:r>
      <w:commentRangeEnd w:id="1"/>
      <w:r>
        <w:commentReference w:id="1"/>
      </w:r>
      <w:r>
        <w:t xml:space="preserve">to be assessed and controlled as </w:t>
      </w:r>
      <w:proofErr w:type="spellStart"/>
      <w:r>
        <w:t>GxP</w:t>
      </w:r>
      <w:proofErr w:type="spellEnd"/>
      <w:r>
        <w:t xml:space="preserve"> or non-</w:t>
      </w:r>
      <w:proofErr w:type="spellStart"/>
      <w:r>
        <w:t>GxP</w:t>
      </w:r>
      <w:proofErr w:type="spellEnd"/>
      <w:r w:rsidR="4EB789DE">
        <w:t xml:space="preserve"> (</w:t>
      </w:r>
      <w:r w:rsidR="4EB789DE" w:rsidRPr="445E5858">
        <w:rPr>
          <w:highlight w:val="yellow"/>
        </w:rPr>
        <w:t>we have not discussed yet how to best control this. PLGMP</w:t>
      </w:r>
      <w:r w:rsidR="07F35DD8" w:rsidRPr="445E5858">
        <w:rPr>
          <w:highlight w:val="yellow"/>
        </w:rPr>
        <w:t xml:space="preserve"> may suggest the best approach</w:t>
      </w:r>
      <w:r w:rsidR="4EB789DE" w:rsidRPr="445E5858">
        <w:rPr>
          <w:highlight w:val="yellow"/>
        </w:rPr>
        <w:t>?</w:t>
      </w:r>
      <w:r w:rsidR="4EB789DE">
        <w:t>)</w:t>
      </w:r>
    </w:p>
    <w:p w14:paraId="63B8EEA4" w14:textId="0E968526" w:rsidR="4C6CDE27" w:rsidRDefault="4C6CDE27" w:rsidP="7980176A">
      <w:pPr>
        <w:pStyle w:val="ListParagraph"/>
        <w:numPr>
          <w:ilvl w:val="0"/>
          <w:numId w:val="1"/>
        </w:numPr>
      </w:pPr>
      <w:r>
        <w:t xml:space="preserve">Mapping of </w:t>
      </w:r>
      <w:r w:rsidR="702AE1CE">
        <w:t>services</w:t>
      </w:r>
      <w:r>
        <w:t>:</w:t>
      </w:r>
    </w:p>
    <w:p w14:paraId="64943DDA" w14:textId="162409F9" w:rsidR="4C6CDE27" w:rsidRDefault="4C6CDE27" w:rsidP="7980176A">
      <w:pPr>
        <w:pStyle w:val="ListParagraph"/>
        <w:numPr>
          <w:ilvl w:val="1"/>
          <w:numId w:val="1"/>
        </w:numPr>
      </w:pPr>
      <w:proofErr w:type="spellStart"/>
      <w:r>
        <w:t>GxP</w:t>
      </w:r>
      <w:proofErr w:type="spellEnd"/>
      <w:r>
        <w:t xml:space="preserve"> vendors can be mapped to </w:t>
      </w:r>
      <w:proofErr w:type="spellStart"/>
      <w:r>
        <w:t>GxP</w:t>
      </w:r>
      <w:proofErr w:type="spellEnd"/>
      <w:r>
        <w:t xml:space="preserve"> or non-</w:t>
      </w:r>
      <w:proofErr w:type="spellStart"/>
      <w:r>
        <w:t>GxP</w:t>
      </w:r>
      <w:proofErr w:type="spellEnd"/>
      <w:r>
        <w:t xml:space="preserve"> s</w:t>
      </w:r>
      <w:r w:rsidR="3DA16EE8">
        <w:t>ervices</w:t>
      </w:r>
    </w:p>
    <w:p w14:paraId="39ADD8FF" w14:textId="3902D64B" w:rsidR="4C6CDE27" w:rsidRDefault="4C6CDE27" w:rsidP="7980176A">
      <w:pPr>
        <w:pStyle w:val="ListParagraph"/>
        <w:numPr>
          <w:ilvl w:val="1"/>
          <w:numId w:val="1"/>
        </w:numPr>
      </w:pPr>
      <w:r>
        <w:t>Non-</w:t>
      </w:r>
      <w:proofErr w:type="spellStart"/>
      <w:r>
        <w:t>GxP</w:t>
      </w:r>
      <w:proofErr w:type="spellEnd"/>
      <w:r>
        <w:t xml:space="preserve"> vendors can only be mapped to non-</w:t>
      </w:r>
      <w:proofErr w:type="spellStart"/>
      <w:r>
        <w:t>GxP</w:t>
      </w:r>
      <w:proofErr w:type="spellEnd"/>
      <w:r>
        <w:t xml:space="preserve"> s</w:t>
      </w:r>
      <w:r w:rsidR="53E8EEFA">
        <w:t>ervices</w:t>
      </w:r>
    </w:p>
    <w:p w14:paraId="1573F4B0" w14:textId="701D017A" w:rsidR="2D61EC22" w:rsidRDefault="2D61EC22" w:rsidP="7980176A">
      <w:r>
        <w:t xml:space="preserve">Overall required flow for </w:t>
      </w:r>
      <w:r w:rsidR="21158857">
        <w:t>services</w:t>
      </w:r>
      <w:r>
        <w:t xml:space="preserve"> including vendor registration and approval</w:t>
      </w:r>
      <w:r w:rsidR="0AFC3740">
        <w:t>:</w:t>
      </w:r>
    </w:p>
    <w:p w14:paraId="78A8D047" w14:textId="7579074C" w:rsidR="7980176A" w:rsidRDefault="7980176A">
      <w:r>
        <w:br w:type="page"/>
      </w:r>
    </w:p>
    <w:p w14:paraId="49BAC9E0" w14:textId="7DB78F9C" w:rsidR="4F221015" w:rsidRDefault="4F221015" w:rsidP="7980176A">
      <w:r>
        <w:lastRenderedPageBreak/>
        <w:t>Vendor Registration</w:t>
      </w:r>
      <w:r w:rsidR="15B1D5C6">
        <w:t>, Approval</w:t>
      </w:r>
      <w:r>
        <w:t xml:space="preserve"> </w:t>
      </w:r>
      <w:r w:rsidR="551E2042">
        <w:t xml:space="preserve">and </w:t>
      </w:r>
      <w:r w:rsidR="0D2832F9">
        <w:t>M</w:t>
      </w:r>
      <w:r w:rsidR="551E2042">
        <w:t xml:space="preserve">apping to </w:t>
      </w:r>
      <w:r w:rsidR="7B1F6D43">
        <w:t>Services</w:t>
      </w: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1815"/>
        <w:gridCol w:w="1815"/>
        <w:gridCol w:w="3630"/>
      </w:tblGrid>
      <w:tr w:rsidR="7980176A" w14:paraId="74C94C8A" w14:textId="77777777" w:rsidTr="48043C77">
        <w:trPr>
          <w:trHeight w:val="300"/>
        </w:trPr>
        <w:tc>
          <w:tcPr>
            <w:tcW w:w="7260" w:type="dxa"/>
            <w:gridSpan w:val="3"/>
            <w:tcBorders>
              <w:top w:val="single" w:sz="6" w:space="0" w:color="auto"/>
              <w:left w:val="single" w:sz="6" w:space="0" w:color="auto"/>
              <w:bottom w:val="single" w:sz="6" w:space="0" w:color="auto"/>
              <w:right w:val="single" w:sz="6" w:space="0" w:color="000000" w:themeColor="text1"/>
            </w:tcBorders>
            <w:tcMar>
              <w:left w:w="105" w:type="dxa"/>
              <w:right w:w="105" w:type="dxa"/>
            </w:tcMar>
            <w:vAlign w:val="center"/>
          </w:tcPr>
          <w:p w14:paraId="6D93327C" w14:textId="17D5234B" w:rsidR="7980176A" w:rsidRDefault="7980176A" w:rsidP="7980176A">
            <w:pPr>
              <w:spacing w:after="0" w:line="240" w:lineRule="auto"/>
              <w:ind w:left="-90"/>
              <w:jc w:val="center"/>
              <w:rPr>
                <w:rFonts w:ascii="Cambria" w:eastAsia="Cambria" w:hAnsi="Cambria" w:cs="Cambria"/>
                <w:color w:val="538135"/>
                <w:lang w:val="en-IN"/>
              </w:rPr>
            </w:pPr>
            <w:r w:rsidRPr="7980176A">
              <w:rPr>
                <w:rFonts w:ascii="Cambria" w:eastAsia="Cambria" w:hAnsi="Cambria" w:cs="Cambria"/>
                <w:color w:val="538135"/>
                <w:lang w:val="en-IN"/>
              </w:rPr>
              <w:t xml:space="preserve">Vendor </w:t>
            </w:r>
            <w:r w:rsidR="77B4E25A" w:rsidRPr="7980176A">
              <w:rPr>
                <w:rFonts w:ascii="Cambria" w:eastAsia="Cambria" w:hAnsi="Cambria" w:cs="Cambria"/>
                <w:color w:val="538135"/>
                <w:lang w:val="en-IN"/>
              </w:rPr>
              <w:t xml:space="preserve">Registration </w:t>
            </w:r>
            <w:r w:rsidRPr="7980176A">
              <w:rPr>
                <w:rFonts w:ascii="Cambria" w:eastAsia="Cambria" w:hAnsi="Cambria" w:cs="Cambria"/>
                <w:color w:val="538135"/>
                <w:lang w:val="en-IN"/>
              </w:rPr>
              <w:t>(by Purchase Department)</w:t>
            </w:r>
          </w:p>
        </w:tc>
      </w:tr>
      <w:tr w:rsidR="7980176A" w14:paraId="640C0D9D" w14:textId="77777777" w:rsidTr="48043C77">
        <w:trPr>
          <w:trHeight w:val="300"/>
        </w:trPr>
        <w:tc>
          <w:tcPr>
            <w:tcW w:w="7260" w:type="dxa"/>
            <w:gridSpan w:val="3"/>
            <w:tcBorders>
              <w:top w:val="single" w:sz="6" w:space="0" w:color="auto"/>
              <w:left w:val="single" w:sz="6" w:space="0" w:color="auto"/>
              <w:bottom w:val="single" w:sz="6" w:space="0" w:color="auto"/>
              <w:right w:val="single" w:sz="6" w:space="0" w:color="000000" w:themeColor="text1"/>
            </w:tcBorders>
            <w:tcMar>
              <w:left w:w="105" w:type="dxa"/>
              <w:right w:w="105" w:type="dxa"/>
            </w:tcMar>
            <w:vAlign w:val="center"/>
          </w:tcPr>
          <w:p w14:paraId="28943BD6" w14:textId="7B31469B" w:rsidR="7980176A" w:rsidRDefault="7980176A" w:rsidP="7980176A">
            <w:pPr>
              <w:spacing w:after="0" w:line="240" w:lineRule="auto"/>
              <w:ind w:left="-90"/>
              <w:jc w:val="center"/>
              <w:rPr>
                <w:rFonts w:ascii="Cambria" w:eastAsia="Cambria" w:hAnsi="Cambria" w:cs="Cambria"/>
                <w:color w:val="538135"/>
                <w:lang w:val="en-IN"/>
              </w:rPr>
            </w:pPr>
            <w:r w:rsidRPr="7980176A">
              <w:rPr>
                <w:rFonts w:ascii="Cambria" w:eastAsia="Cambria" w:hAnsi="Cambria" w:cs="Cambria"/>
                <w:color w:val="538135"/>
                <w:lang w:val="en-IN"/>
              </w:rPr>
              <w:t>Vendor Type: Manufacturer, Supplier or Service</w:t>
            </w:r>
          </w:p>
        </w:tc>
      </w:tr>
      <w:tr w:rsidR="7980176A" w14:paraId="74CD4F27" w14:textId="77777777" w:rsidTr="48043C77">
        <w:trPr>
          <w:trHeight w:val="300"/>
        </w:trPr>
        <w:tc>
          <w:tcPr>
            <w:tcW w:w="7260" w:type="dxa"/>
            <w:gridSpan w:val="3"/>
            <w:tcBorders>
              <w:top w:val="single" w:sz="6" w:space="0" w:color="auto"/>
              <w:left w:val="nil"/>
              <w:bottom w:val="nil"/>
              <w:right w:val="nil"/>
            </w:tcBorders>
            <w:tcMar>
              <w:left w:w="105" w:type="dxa"/>
              <w:right w:w="105" w:type="dxa"/>
            </w:tcMar>
            <w:vAlign w:val="center"/>
          </w:tcPr>
          <w:p w14:paraId="1FC266F3" w14:textId="61FDBB78" w:rsidR="7980176A" w:rsidRDefault="7980176A" w:rsidP="7980176A">
            <w:pPr>
              <w:spacing w:after="0" w:line="240" w:lineRule="auto"/>
              <w:ind w:left="-90"/>
              <w:jc w:val="center"/>
              <w:rPr>
                <w:rFonts w:ascii="Cambria" w:eastAsia="Cambria" w:hAnsi="Cambria" w:cs="Cambria"/>
                <w:color w:val="538135"/>
              </w:rPr>
            </w:pPr>
            <w:r>
              <w:rPr>
                <w:noProof/>
              </w:rPr>
              <w:drawing>
                <wp:inline distT="0" distB="0" distL="0" distR="0" wp14:anchorId="611FB240" wp14:editId="1A39A39F">
                  <wp:extent cx="200025" cy="257175"/>
                  <wp:effectExtent l="0" t="0" r="0" b="0"/>
                  <wp:docPr id="1264000" name="Picture 1264000" descr="Sha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200025" cy="257175"/>
                          </a:xfrm>
                          <a:prstGeom prst="rect">
                            <a:avLst/>
                          </a:prstGeom>
                        </pic:spPr>
                      </pic:pic>
                    </a:graphicData>
                  </a:graphic>
                </wp:inline>
              </w:drawing>
            </w:r>
          </w:p>
        </w:tc>
      </w:tr>
      <w:tr w:rsidR="7980176A" w14:paraId="58D9F2A4" w14:textId="77777777" w:rsidTr="48043C77">
        <w:trPr>
          <w:trHeight w:val="300"/>
        </w:trPr>
        <w:tc>
          <w:tcPr>
            <w:tcW w:w="7260" w:type="dxa"/>
            <w:gridSpan w:val="3"/>
            <w:tcBorders>
              <w:top w:val="single" w:sz="6" w:space="0" w:color="auto"/>
              <w:left w:val="single" w:sz="6" w:space="0" w:color="auto"/>
              <w:bottom w:val="single" w:sz="6" w:space="0" w:color="auto"/>
              <w:right w:val="single" w:sz="6" w:space="0" w:color="000000" w:themeColor="text1"/>
            </w:tcBorders>
            <w:tcMar>
              <w:left w:w="105" w:type="dxa"/>
              <w:right w:w="105" w:type="dxa"/>
            </w:tcMar>
            <w:vAlign w:val="center"/>
          </w:tcPr>
          <w:p w14:paraId="44BBCAD2" w14:textId="5826AAF3" w:rsidR="35EB5CB7" w:rsidRDefault="35EB5CB7" w:rsidP="7980176A">
            <w:pPr>
              <w:spacing w:after="0" w:line="240" w:lineRule="auto"/>
              <w:ind w:left="-90"/>
              <w:jc w:val="center"/>
            </w:pPr>
            <w:r w:rsidRPr="7980176A">
              <w:rPr>
                <w:rFonts w:ascii="Cambria" w:eastAsia="Cambria" w:hAnsi="Cambria" w:cs="Cambria"/>
                <w:color w:val="538135"/>
                <w:lang w:val="en-IN"/>
              </w:rPr>
              <w:t>Vendor A</w:t>
            </w:r>
            <w:r w:rsidR="5D553110" w:rsidRPr="7980176A">
              <w:rPr>
                <w:rFonts w:ascii="Cambria" w:eastAsia="Cambria" w:hAnsi="Cambria" w:cs="Cambria"/>
                <w:color w:val="538135"/>
                <w:lang w:val="en-IN"/>
              </w:rPr>
              <w:t>ssessment</w:t>
            </w:r>
            <w:r w:rsidRPr="7980176A">
              <w:rPr>
                <w:rFonts w:ascii="Cambria" w:eastAsia="Cambria" w:hAnsi="Cambria" w:cs="Cambria"/>
                <w:color w:val="538135"/>
                <w:lang w:val="en-IN"/>
              </w:rPr>
              <w:t xml:space="preserve"> (by QA Department)</w:t>
            </w:r>
          </w:p>
        </w:tc>
      </w:tr>
      <w:tr w:rsidR="7980176A" w14:paraId="322FCF05" w14:textId="77777777" w:rsidTr="48043C77">
        <w:trPr>
          <w:trHeight w:val="300"/>
        </w:trPr>
        <w:tc>
          <w:tcPr>
            <w:tcW w:w="7260" w:type="dxa"/>
            <w:gridSpan w:val="3"/>
            <w:tcBorders>
              <w:top w:val="single" w:sz="6" w:space="0" w:color="auto"/>
              <w:left w:val="nil"/>
              <w:bottom w:val="nil"/>
              <w:right w:val="nil"/>
            </w:tcBorders>
            <w:tcMar>
              <w:left w:w="105" w:type="dxa"/>
              <w:right w:w="105" w:type="dxa"/>
            </w:tcMar>
            <w:vAlign w:val="center"/>
          </w:tcPr>
          <w:p w14:paraId="69246DC8" w14:textId="61830D77" w:rsidR="7980176A" w:rsidRDefault="7980176A" w:rsidP="7980176A">
            <w:pPr>
              <w:spacing w:after="0" w:line="240" w:lineRule="auto"/>
              <w:ind w:left="-90"/>
              <w:jc w:val="center"/>
              <w:rPr>
                <w:rFonts w:ascii="Cambria" w:eastAsia="Cambria" w:hAnsi="Cambria" w:cs="Cambria"/>
                <w:color w:val="538135"/>
              </w:rPr>
            </w:pPr>
            <w:r>
              <w:rPr>
                <w:noProof/>
              </w:rPr>
              <w:drawing>
                <wp:inline distT="0" distB="0" distL="0" distR="0" wp14:anchorId="03A6FA3E" wp14:editId="69BC0C3C">
                  <wp:extent cx="200025" cy="257175"/>
                  <wp:effectExtent l="0" t="0" r="0" b="0"/>
                  <wp:docPr id="278338255" name="Picture 278338255" descr="Sha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200025" cy="257175"/>
                          </a:xfrm>
                          <a:prstGeom prst="rect">
                            <a:avLst/>
                          </a:prstGeom>
                        </pic:spPr>
                      </pic:pic>
                    </a:graphicData>
                  </a:graphic>
                </wp:inline>
              </w:drawing>
            </w:r>
          </w:p>
        </w:tc>
      </w:tr>
      <w:tr w:rsidR="7980176A" w14:paraId="19B234BA" w14:textId="77777777" w:rsidTr="48043C77">
        <w:trPr>
          <w:trHeight w:val="300"/>
        </w:trPr>
        <w:tc>
          <w:tcPr>
            <w:tcW w:w="3630" w:type="dxa"/>
            <w:gridSpan w:val="2"/>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C7B2D30" w14:textId="6DE415AE" w:rsidR="2553D6AE" w:rsidRDefault="2553D6AE" w:rsidP="7980176A">
            <w:pPr>
              <w:spacing w:after="0" w:line="240" w:lineRule="auto"/>
              <w:ind w:left="-90"/>
              <w:jc w:val="center"/>
              <w:rPr>
                <w:rFonts w:ascii="Cambria" w:eastAsia="Cambria" w:hAnsi="Cambria" w:cs="Cambria"/>
                <w:color w:val="538135"/>
              </w:rPr>
            </w:pPr>
            <w:r w:rsidRPr="7980176A">
              <w:rPr>
                <w:rFonts w:ascii="Cambria" w:eastAsia="Cambria" w:hAnsi="Cambria" w:cs="Cambria"/>
                <w:color w:val="538135"/>
                <w:lang w:val="en-IN"/>
              </w:rPr>
              <w:t xml:space="preserve">Potential </w:t>
            </w:r>
            <w:proofErr w:type="spellStart"/>
            <w:r w:rsidR="18524D78" w:rsidRPr="7980176A">
              <w:rPr>
                <w:rFonts w:ascii="Cambria" w:eastAsia="Cambria" w:hAnsi="Cambria" w:cs="Cambria"/>
                <w:color w:val="538135"/>
                <w:lang w:val="en-IN"/>
              </w:rPr>
              <w:t>GxP</w:t>
            </w:r>
            <w:proofErr w:type="spellEnd"/>
            <w:r w:rsidR="18524D78" w:rsidRPr="7980176A">
              <w:rPr>
                <w:rFonts w:ascii="Cambria" w:eastAsia="Cambria" w:hAnsi="Cambria" w:cs="Cambria"/>
                <w:color w:val="538135"/>
                <w:lang w:val="en-IN"/>
              </w:rPr>
              <w:t xml:space="preserve"> impact</w:t>
            </w:r>
          </w:p>
        </w:tc>
        <w:tc>
          <w:tcPr>
            <w:tcW w:w="363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750CCAF" w14:textId="7331D0ED" w:rsidR="562DE53E" w:rsidRDefault="14754C68" w:rsidP="68D1EB58">
            <w:pPr>
              <w:spacing w:after="0" w:line="240" w:lineRule="auto"/>
              <w:ind w:left="-90"/>
              <w:jc w:val="center"/>
              <w:rPr>
                <w:rFonts w:ascii="Cambria" w:eastAsia="Cambria" w:hAnsi="Cambria" w:cs="Cambria"/>
                <w:color w:val="538135"/>
                <w:lang w:val="en-IN"/>
              </w:rPr>
            </w:pPr>
            <w:r w:rsidRPr="68D1EB58">
              <w:rPr>
                <w:rFonts w:ascii="Cambria" w:eastAsia="Cambria" w:hAnsi="Cambria" w:cs="Cambria"/>
                <w:color w:val="538135"/>
                <w:lang w:val="en-IN"/>
              </w:rPr>
              <w:t>Obvious n</w:t>
            </w:r>
            <w:r w:rsidR="562DE53E" w:rsidRPr="68D1EB58">
              <w:rPr>
                <w:rFonts w:ascii="Cambria" w:eastAsia="Cambria" w:hAnsi="Cambria" w:cs="Cambria"/>
                <w:color w:val="538135"/>
                <w:lang w:val="en-IN"/>
              </w:rPr>
              <w:t>on-</w:t>
            </w:r>
            <w:proofErr w:type="spellStart"/>
            <w:r w:rsidR="562DE53E" w:rsidRPr="68D1EB58">
              <w:rPr>
                <w:rFonts w:ascii="Cambria" w:eastAsia="Cambria" w:hAnsi="Cambria" w:cs="Cambria"/>
                <w:color w:val="538135"/>
                <w:lang w:val="en-IN"/>
              </w:rPr>
              <w:t>GxP</w:t>
            </w:r>
            <w:proofErr w:type="spellEnd"/>
            <w:r w:rsidR="562DE53E" w:rsidRPr="68D1EB58">
              <w:rPr>
                <w:rFonts w:ascii="Cambria" w:eastAsia="Cambria" w:hAnsi="Cambria" w:cs="Cambria"/>
                <w:color w:val="538135"/>
                <w:lang w:val="en-IN"/>
              </w:rPr>
              <w:t xml:space="preserve"> Vendor</w:t>
            </w:r>
          </w:p>
        </w:tc>
      </w:tr>
      <w:tr w:rsidR="7980176A" w14:paraId="695BE661" w14:textId="77777777" w:rsidTr="48043C77">
        <w:trPr>
          <w:trHeight w:val="300"/>
        </w:trPr>
        <w:tc>
          <w:tcPr>
            <w:tcW w:w="3630" w:type="dxa"/>
            <w:gridSpan w:val="2"/>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E0F4DBA" w14:textId="604D64C1" w:rsidR="7980176A" w:rsidRDefault="7980176A" w:rsidP="7980176A">
            <w:pPr>
              <w:spacing w:after="0" w:line="240" w:lineRule="auto"/>
              <w:ind w:left="-90"/>
              <w:jc w:val="center"/>
              <w:rPr>
                <w:rFonts w:ascii="Cambria" w:eastAsia="Cambria" w:hAnsi="Cambria" w:cs="Cambria"/>
                <w:color w:val="538135"/>
              </w:rPr>
            </w:pPr>
            <w:r>
              <w:rPr>
                <w:noProof/>
              </w:rPr>
              <w:drawing>
                <wp:inline distT="0" distB="0" distL="0" distR="0" wp14:anchorId="552B7C77" wp14:editId="120DD218">
                  <wp:extent cx="200025" cy="257175"/>
                  <wp:effectExtent l="0" t="0" r="0" b="0"/>
                  <wp:docPr id="369845832" name="Picture 369845832" descr="Sha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200025" cy="257175"/>
                          </a:xfrm>
                          <a:prstGeom prst="rect">
                            <a:avLst/>
                          </a:prstGeom>
                        </pic:spPr>
                      </pic:pic>
                    </a:graphicData>
                  </a:graphic>
                </wp:inline>
              </w:drawing>
            </w:r>
          </w:p>
        </w:tc>
        <w:tc>
          <w:tcPr>
            <w:tcW w:w="363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2E1D5D7" w14:textId="1C53B8F5" w:rsidR="7980176A" w:rsidRDefault="7980176A" w:rsidP="7980176A">
            <w:pPr>
              <w:spacing w:after="0" w:line="240" w:lineRule="auto"/>
              <w:ind w:left="-90"/>
              <w:jc w:val="center"/>
              <w:rPr>
                <w:rFonts w:ascii="Times New Roman" w:eastAsia="Times New Roman" w:hAnsi="Times New Roman" w:cs="Times New Roman"/>
                <w:color w:val="538135"/>
                <w:sz w:val="20"/>
                <w:szCs w:val="20"/>
              </w:rPr>
            </w:pPr>
            <w:r>
              <w:rPr>
                <w:noProof/>
              </w:rPr>
              <w:drawing>
                <wp:inline distT="0" distB="0" distL="0" distR="0" wp14:anchorId="1DC2F8DD" wp14:editId="404EA666">
                  <wp:extent cx="200025" cy="257175"/>
                  <wp:effectExtent l="0" t="0" r="0" b="0"/>
                  <wp:docPr id="962960586" name="Picture 962960586" descr="Sha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200025" cy="257175"/>
                          </a:xfrm>
                          <a:prstGeom prst="rect">
                            <a:avLst/>
                          </a:prstGeom>
                        </pic:spPr>
                      </pic:pic>
                    </a:graphicData>
                  </a:graphic>
                </wp:inline>
              </w:drawing>
            </w:r>
          </w:p>
        </w:tc>
      </w:tr>
      <w:tr w:rsidR="7980176A" w14:paraId="3E1D3404" w14:textId="77777777" w:rsidTr="48043C77">
        <w:trPr>
          <w:trHeight w:val="300"/>
        </w:trPr>
        <w:tc>
          <w:tcPr>
            <w:tcW w:w="3630" w:type="dxa"/>
            <w:gridSpan w:val="2"/>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61B0DD4" w14:textId="0A0555EA" w:rsidR="7980176A" w:rsidRDefault="7980176A" w:rsidP="7980176A">
            <w:pPr>
              <w:spacing w:after="0" w:line="240" w:lineRule="auto"/>
              <w:ind w:left="-90"/>
              <w:jc w:val="center"/>
              <w:rPr>
                <w:rFonts w:ascii="Cambria" w:eastAsia="Cambria" w:hAnsi="Cambria" w:cs="Cambria"/>
                <w:color w:val="538135"/>
                <w:lang w:val="en-IN"/>
              </w:rPr>
            </w:pPr>
            <w:r w:rsidRPr="7980176A">
              <w:rPr>
                <w:rFonts w:ascii="Cambria" w:eastAsia="Cambria" w:hAnsi="Cambria" w:cs="Cambria"/>
                <w:color w:val="538135"/>
                <w:lang w:val="en-IN"/>
              </w:rPr>
              <w:t xml:space="preserve">Vendor </w:t>
            </w:r>
            <w:r w:rsidR="4D2C4B99" w:rsidRPr="7980176A">
              <w:rPr>
                <w:rFonts w:ascii="Cambria" w:eastAsia="Cambria" w:hAnsi="Cambria" w:cs="Cambria"/>
                <w:color w:val="538135"/>
                <w:lang w:val="en-IN"/>
              </w:rPr>
              <w:t xml:space="preserve">Assessment </w:t>
            </w:r>
            <w:r w:rsidRPr="7980176A">
              <w:rPr>
                <w:rFonts w:ascii="Cambria" w:eastAsia="Cambria" w:hAnsi="Cambria" w:cs="Cambria"/>
                <w:color w:val="538135"/>
                <w:lang w:val="en-IN"/>
              </w:rPr>
              <w:t>by QA as per SOP</w:t>
            </w:r>
            <w:r w:rsidR="48195986" w:rsidRPr="7980176A">
              <w:rPr>
                <w:rFonts w:ascii="Cambria" w:eastAsia="Cambria" w:hAnsi="Cambria" w:cs="Cambria"/>
                <w:color w:val="538135"/>
                <w:lang w:val="en-IN"/>
              </w:rPr>
              <w:t>-020</w:t>
            </w:r>
          </w:p>
        </w:tc>
        <w:tc>
          <w:tcPr>
            <w:tcW w:w="363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618EEC0" w14:textId="5F777E93" w:rsidR="7980176A" w:rsidRDefault="7980176A" w:rsidP="7980176A">
            <w:pPr>
              <w:spacing w:after="0" w:line="240" w:lineRule="auto"/>
              <w:ind w:left="-90"/>
              <w:jc w:val="center"/>
              <w:rPr>
                <w:rFonts w:ascii="Cambria" w:eastAsia="Cambria" w:hAnsi="Cambria" w:cs="Cambria"/>
                <w:color w:val="538135"/>
                <w:lang w:val="en-IN"/>
              </w:rPr>
            </w:pPr>
            <w:r w:rsidRPr="7980176A">
              <w:rPr>
                <w:rFonts w:ascii="Cambria" w:eastAsia="Cambria" w:hAnsi="Cambria" w:cs="Cambria"/>
                <w:color w:val="538135"/>
                <w:lang w:val="en-IN"/>
              </w:rPr>
              <w:t>Qualification Not Req</w:t>
            </w:r>
            <w:r w:rsidR="496A4EE4" w:rsidRPr="7980176A">
              <w:rPr>
                <w:rFonts w:ascii="Cambria" w:eastAsia="Cambria" w:hAnsi="Cambria" w:cs="Cambria"/>
                <w:color w:val="538135"/>
                <w:lang w:val="en-IN"/>
              </w:rPr>
              <w:t xml:space="preserve">uired </w:t>
            </w:r>
          </w:p>
        </w:tc>
      </w:tr>
      <w:tr w:rsidR="7980176A" w14:paraId="6F47A108" w14:textId="77777777" w:rsidTr="48043C77">
        <w:trPr>
          <w:trHeight w:val="300"/>
        </w:trPr>
        <w:tc>
          <w:tcPr>
            <w:tcW w:w="3630" w:type="dxa"/>
            <w:gridSpan w:val="2"/>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9EB57A0" w14:textId="34733F1C" w:rsidR="2D70A978" w:rsidRDefault="2D70A978" w:rsidP="7980176A">
            <w:pPr>
              <w:spacing w:line="240" w:lineRule="auto"/>
              <w:jc w:val="center"/>
              <w:rPr>
                <w:rFonts w:ascii="Times New Roman" w:eastAsia="Times New Roman" w:hAnsi="Times New Roman" w:cs="Times New Roman"/>
                <w:color w:val="538135"/>
                <w:sz w:val="20"/>
                <w:szCs w:val="20"/>
              </w:rPr>
            </w:pPr>
            <w:r>
              <w:rPr>
                <w:noProof/>
              </w:rPr>
              <w:drawing>
                <wp:inline distT="0" distB="0" distL="0" distR="0" wp14:anchorId="0D3C0187" wp14:editId="5F895F21">
                  <wp:extent cx="200025" cy="257175"/>
                  <wp:effectExtent l="0" t="0" r="0" b="0"/>
                  <wp:docPr id="1141492099" name="Picture 1141492099" descr="Sha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200025" cy="257175"/>
                          </a:xfrm>
                          <a:prstGeom prst="rect">
                            <a:avLst/>
                          </a:prstGeom>
                        </pic:spPr>
                      </pic:pic>
                    </a:graphicData>
                  </a:graphic>
                </wp:inline>
              </w:drawing>
            </w:r>
          </w:p>
        </w:tc>
        <w:tc>
          <w:tcPr>
            <w:tcW w:w="363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8144BD7" w14:textId="2316F0E3" w:rsidR="496A4EE4" w:rsidRDefault="496A4EE4" w:rsidP="7980176A">
            <w:pPr>
              <w:spacing w:line="240" w:lineRule="auto"/>
              <w:jc w:val="center"/>
              <w:rPr>
                <w:rFonts w:ascii="Times New Roman" w:eastAsia="Times New Roman" w:hAnsi="Times New Roman" w:cs="Times New Roman"/>
                <w:color w:val="538135"/>
                <w:sz w:val="20"/>
                <w:szCs w:val="20"/>
              </w:rPr>
            </w:pPr>
            <w:r>
              <w:rPr>
                <w:noProof/>
              </w:rPr>
              <w:drawing>
                <wp:inline distT="0" distB="0" distL="0" distR="0" wp14:anchorId="5FA77AE7" wp14:editId="2E9554C8">
                  <wp:extent cx="200025" cy="257175"/>
                  <wp:effectExtent l="0" t="0" r="0" b="0"/>
                  <wp:docPr id="399361956" name="Picture 399361956" descr="Sha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200025" cy="257175"/>
                          </a:xfrm>
                          <a:prstGeom prst="rect">
                            <a:avLst/>
                          </a:prstGeom>
                        </pic:spPr>
                      </pic:pic>
                    </a:graphicData>
                  </a:graphic>
                </wp:inline>
              </w:drawing>
            </w:r>
          </w:p>
        </w:tc>
      </w:tr>
      <w:tr w:rsidR="7980176A" w14:paraId="2E2ED598" w14:textId="77777777" w:rsidTr="48043C77">
        <w:trPr>
          <w:trHeight w:val="300"/>
        </w:trPr>
        <w:tc>
          <w:tcPr>
            <w:tcW w:w="181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75127EF" w14:textId="3BEF060B" w:rsidR="144AC310" w:rsidRDefault="144AC310" w:rsidP="7980176A">
            <w:pPr>
              <w:spacing w:line="240" w:lineRule="auto"/>
              <w:jc w:val="center"/>
              <w:rPr>
                <w:rFonts w:ascii="Cambria" w:eastAsia="Cambria" w:hAnsi="Cambria" w:cs="Cambria"/>
                <w:color w:val="538135"/>
                <w:lang w:val="en-IN"/>
              </w:rPr>
            </w:pPr>
            <w:r w:rsidRPr="7980176A">
              <w:rPr>
                <w:rFonts w:ascii="Cambria" w:eastAsia="Cambria" w:hAnsi="Cambria" w:cs="Cambria"/>
                <w:color w:val="538135"/>
                <w:lang w:val="en-IN"/>
              </w:rPr>
              <w:t>Assessed as A, B or C vendor</w:t>
            </w:r>
          </w:p>
        </w:tc>
        <w:tc>
          <w:tcPr>
            <w:tcW w:w="181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99CFEAC" w14:textId="1EFCC053" w:rsidR="144AC310" w:rsidRDefault="4C6E9368" w:rsidP="48043C77">
            <w:pPr>
              <w:jc w:val="center"/>
              <w:rPr>
                <w:rFonts w:ascii="Cambria" w:eastAsia="Cambria" w:hAnsi="Cambria" w:cs="Cambria"/>
                <w:color w:val="538135"/>
                <w:lang w:val="en-IN"/>
              </w:rPr>
            </w:pPr>
            <w:r w:rsidRPr="48043C77">
              <w:rPr>
                <w:rFonts w:ascii="Cambria" w:eastAsia="Cambria" w:hAnsi="Cambria" w:cs="Cambria"/>
                <w:color w:val="538135"/>
                <w:lang w:val="en-IN"/>
              </w:rPr>
              <w:t xml:space="preserve">Assessed as a </w:t>
            </w:r>
            <w:r w:rsidR="77C02357" w:rsidRPr="48043C77">
              <w:rPr>
                <w:rFonts w:ascii="Cambria" w:eastAsia="Cambria" w:hAnsi="Cambria" w:cs="Cambria"/>
                <w:color w:val="538135"/>
                <w:lang w:val="en-IN"/>
              </w:rPr>
              <w:t>non-GMP</w:t>
            </w:r>
            <w:r w:rsidRPr="48043C77">
              <w:rPr>
                <w:rFonts w:ascii="Cambria" w:eastAsia="Cambria" w:hAnsi="Cambria" w:cs="Cambria"/>
                <w:color w:val="538135"/>
                <w:lang w:val="en-IN"/>
              </w:rPr>
              <w:t xml:space="preserve"> vendor</w:t>
            </w:r>
            <w:r w:rsidR="2C89C5BB" w:rsidRPr="48043C77">
              <w:rPr>
                <w:rFonts w:ascii="Cambria" w:eastAsia="Cambria" w:hAnsi="Cambria" w:cs="Cambria"/>
                <w:color w:val="538135"/>
                <w:lang w:val="en-IN"/>
              </w:rPr>
              <w:t>. No further actions required by QA</w:t>
            </w:r>
          </w:p>
        </w:tc>
        <w:tc>
          <w:tcPr>
            <w:tcW w:w="363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3247B8F" w14:textId="4B18B7FC" w:rsidR="496A4EE4" w:rsidRDefault="6B79B060" w:rsidP="48043C77">
            <w:pPr>
              <w:spacing w:line="240" w:lineRule="auto"/>
              <w:jc w:val="center"/>
              <w:rPr>
                <w:rFonts w:ascii="Cambria" w:eastAsia="Cambria" w:hAnsi="Cambria" w:cs="Cambria"/>
                <w:color w:val="538135"/>
                <w:lang w:val="en-IN"/>
              </w:rPr>
            </w:pPr>
            <w:r w:rsidRPr="48043C77">
              <w:rPr>
                <w:rFonts w:ascii="Cambria" w:eastAsia="Cambria" w:hAnsi="Cambria" w:cs="Cambria"/>
                <w:color w:val="538135"/>
                <w:lang w:val="en-IN"/>
              </w:rPr>
              <w:t>Purchase Department can map any non-</w:t>
            </w:r>
            <w:proofErr w:type="spellStart"/>
            <w:r w:rsidRPr="48043C77">
              <w:rPr>
                <w:rFonts w:ascii="Cambria" w:eastAsia="Cambria" w:hAnsi="Cambria" w:cs="Cambria"/>
                <w:color w:val="538135"/>
                <w:lang w:val="en-IN"/>
              </w:rPr>
              <w:t>G</w:t>
            </w:r>
            <w:r w:rsidR="3DA24E3B" w:rsidRPr="48043C77">
              <w:rPr>
                <w:rFonts w:ascii="Cambria" w:eastAsia="Cambria" w:hAnsi="Cambria" w:cs="Cambria"/>
                <w:color w:val="538135"/>
                <w:lang w:val="en-IN"/>
              </w:rPr>
              <w:t>x</w:t>
            </w:r>
            <w:r w:rsidRPr="48043C77">
              <w:rPr>
                <w:rFonts w:ascii="Cambria" w:eastAsia="Cambria" w:hAnsi="Cambria" w:cs="Cambria"/>
                <w:color w:val="538135"/>
                <w:lang w:val="en-IN"/>
              </w:rPr>
              <w:t>P</w:t>
            </w:r>
            <w:proofErr w:type="spellEnd"/>
            <w:r w:rsidRPr="48043C77">
              <w:rPr>
                <w:rFonts w:ascii="Cambria" w:eastAsia="Cambria" w:hAnsi="Cambria" w:cs="Cambria"/>
                <w:color w:val="538135"/>
                <w:lang w:val="en-IN"/>
              </w:rPr>
              <w:t xml:space="preserve"> s</w:t>
            </w:r>
            <w:r w:rsidR="4F85B6A3" w:rsidRPr="48043C77">
              <w:rPr>
                <w:rFonts w:ascii="Cambria" w:eastAsia="Cambria" w:hAnsi="Cambria" w:cs="Cambria"/>
                <w:color w:val="538135"/>
                <w:lang w:val="en-IN"/>
              </w:rPr>
              <w:t>ervices</w:t>
            </w:r>
            <w:r w:rsidRPr="48043C77">
              <w:rPr>
                <w:rFonts w:ascii="Cambria" w:eastAsia="Cambria" w:hAnsi="Cambria" w:cs="Cambria"/>
                <w:color w:val="538135"/>
                <w:lang w:val="en-IN"/>
              </w:rPr>
              <w:t xml:space="preserve"> to this Vendor and proceed with purchase</w:t>
            </w:r>
          </w:p>
        </w:tc>
      </w:tr>
      <w:tr w:rsidR="7980176A" w14:paraId="68394642" w14:textId="77777777" w:rsidTr="48043C77">
        <w:trPr>
          <w:trHeight w:val="300"/>
        </w:trPr>
        <w:tc>
          <w:tcPr>
            <w:tcW w:w="181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063D29C" w14:textId="65628E7D" w:rsidR="24AFAAA0" w:rsidRDefault="24AFAAA0" w:rsidP="7980176A">
            <w:pPr>
              <w:spacing w:line="240" w:lineRule="auto"/>
              <w:jc w:val="center"/>
              <w:rPr>
                <w:rFonts w:ascii="Times New Roman" w:eastAsia="Times New Roman" w:hAnsi="Times New Roman" w:cs="Times New Roman"/>
                <w:color w:val="538135"/>
                <w:sz w:val="20"/>
                <w:szCs w:val="20"/>
              </w:rPr>
            </w:pPr>
            <w:r>
              <w:rPr>
                <w:noProof/>
              </w:rPr>
              <w:drawing>
                <wp:inline distT="0" distB="0" distL="0" distR="0" wp14:anchorId="01CD293D" wp14:editId="042DECFD">
                  <wp:extent cx="200025" cy="257175"/>
                  <wp:effectExtent l="0" t="0" r="0" b="0"/>
                  <wp:docPr id="1133080285" name="Picture 1133080285" descr="Sha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200025" cy="257175"/>
                          </a:xfrm>
                          <a:prstGeom prst="rect">
                            <a:avLst/>
                          </a:prstGeom>
                        </pic:spPr>
                      </pic:pic>
                    </a:graphicData>
                  </a:graphic>
                </wp:inline>
              </w:drawing>
            </w:r>
          </w:p>
        </w:tc>
        <w:tc>
          <w:tcPr>
            <w:tcW w:w="181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B269395" w14:textId="10C2CEB2" w:rsidR="24AFAAA0" w:rsidRDefault="24AFAAA0" w:rsidP="7980176A">
            <w:pPr>
              <w:jc w:val="center"/>
              <w:rPr>
                <w:rFonts w:ascii="Times New Roman" w:eastAsia="Times New Roman" w:hAnsi="Times New Roman" w:cs="Times New Roman"/>
                <w:color w:val="538135"/>
                <w:sz w:val="20"/>
                <w:szCs w:val="20"/>
              </w:rPr>
            </w:pPr>
            <w:r>
              <w:rPr>
                <w:noProof/>
              </w:rPr>
              <w:drawing>
                <wp:inline distT="0" distB="0" distL="0" distR="0" wp14:anchorId="54C9396C" wp14:editId="43CB51A5">
                  <wp:extent cx="200025" cy="257175"/>
                  <wp:effectExtent l="30301" t="0" r="30301" b="0"/>
                  <wp:docPr id="1329029675" name="Picture 1329029675" descr="Sha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rot="16260000">
                            <a:off x="0" y="0"/>
                            <a:ext cx="200025" cy="257175"/>
                          </a:xfrm>
                          <a:prstGeom prst="rect">
                            <a:avLst/>
                          </a:prstGeom>
                        </pic:spPr>
                      </pic:pic>
                    </a:graphicData>
                  </a:graphic>
                </wp:inline>
              </w:drawing>
            </w:r>
          </w:p>
        </w:tc>
        <w:tc>
          <w:tcPr>
            <w:tcW w:w="363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A64FF49" w14:textId="7DFC58FB" w:rsidR="24AFAAA0" w:rsidRDefault="4E89C97B" w:rsidP="48043C77">
            <w:pPr>
              <w:spacing w:line="240" w:lineRule="auto"/>
              <w:jc w:val="center"/>
              <w:rPr>
                <w:rFonts w:ascii="Cambria" w:eastAsia="Cambria" w:hAnsi="Cambria" w:cs="Cambria"/>
                <w:color w:val="538135"/>
                <w:lang w:val="en-IN"/>
              </w:rPr>
            </w:pPr>
            <w:r w:rsidRPr="48043C77">
              <w:rPr>
                <w:rFonts w:ascii="Cambria" w:eastAsia="Cambria" w:hAnsi="Cambria" w:cs="Cambria"/>
                <w:color w:val="538135"/>
                <w:lang w:val="en-IN"/>
              </w:rPr>
              <w:t>Purchase Department can map any non-</w:t>
            </w:r>
            <w:proofErr w:type="spellStart"/>
            <w:r w:rsidRPr="48043C77">
              <w:rPr>
                <w:rFonts w:ascii="Cambria" w:eastAsia="Cambria" w:hAnsi="Cambria" w:cs="Cambria"/>
                <w:color w:val="538135"/>
                <w:lang w:val="en-IN"/>
              </w:rPr>
              <w:t>G</w:t>
            </w:r>
            <w:r w:rsidR="2C419F8D" w:rsidRPr="48043C77">
              <w:rPr>
                <w:rFonts w:ascii="Cambria" w:eastAsia="Cambria" w:hAnsi="Cambria" w:cs="Cambria"/>
                <w:color w:val="538135"/>
                <w:lang w:val="en-IN"/>
              </w:rPr>
              <w:t>x</w:t>
            </w:r>
            <w:r w:rsidRPr="48043C77">
              <w:rPr>
                <w:rFonts w:ascii="Cambria" w:eastAsia="Cambria" w:hAnsi="Cambria" w:cs="Cambria"/>
                <w:color w:val="538135"/>
                <w:lang w:val="en-IN"/>
              </w:rPr>
              <w:t>P</w:t>
            </w:r>
            <w:proofErr w:type="spellEnd"/>
            <w:r w:rsidRPr="48043C77">
              <w:rPr>
                <w:rFonts w:ascii="Cambria" w:eastAsia="Cambria" w:hAnsi="Cambria" w:cs="Cambria"/>
                <w:color w:val="538135"/>
                <w:lang w:val="en-IN"/>
              </w:rPr>
              <w:t xml:space="preserve"> s</w:t>
            </w:r>
            <w:r w:rsidR="179264D1" w:rsidRPr="48043C77">
              <w:rPr>
                <w:rFonts w:ascii="Cambria" w:eastAsia="Cambria" w:hAnsi="Cambria" w:cs="Cambria"/>
                <w:color w:val="538135"/>
                <w:lang w:val="en-IN"/>
              </w:rPr>
              <w:t>ervices</w:t>
            </w:r>
            <w:r w:rsidRPr="48043C77">
              <w:rPr>
                <w:rFonts w:ascii="Cambria" w:eastAsia="Cambria" w:hAnsi="Cambria" w:cs="Cambria"/>
                <w:color w:val="538135"/>
                <w:lang w:val="en-IN"/>
              </w:rPr>
              <w:t xml:space="preserve"> to this Vendor and proceed with purchase</w:t>
            </w:r>
          </w:p>
        </w:tc>
      </w:tr>
      <w:tr w:rsidR="7980176A" w14:paraId="2794E5F8" w14:textId="77777777" w:rsidTr="48043C77">
        <w:trPr>
          <w:trHeight w:val="300"/>
        </w:trPr>
        <w:tc>
          <w:tcPr>
            <w:tcW w:w="181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3B5E114" w14:textId="581CC7A0" w:rsidR="24AFAAA0" w:rsidRDefault="16298A69" w:rsidP="74646E0F">
            <w:pPr>
              <w:spacing w:line="240" w:lineRule="auto"/>
              <w:jc w:val="center"/>
              <w:rPr>
                <w:rFonts w:ascii="Cambria" w:eastAsia="Cambria" w:hAnsi="Cambria" w:cs="Cambria"/>
                <w:color w:val="538135"/>
                <w:lang w:val="en-IN"/>
              </w:rPr>
            </w:pPr>
            <w:r w:rsidRPr="74646E0F">
              <w:rPr>
                <w:rFonts w:ascii="Cambria" w:eastAsia="Cambria" w:hAnsi="Cambria" w:cs="Cambria"/>
                <w:color w:val="538135"/>
                <w:lang w:val="en-IN"/>
              </w:rPr>
              <w:t>Vendor</w:t>
            </w:r>
            <w:r w:rsidR="375B49F2" w:rsidRPr="74646E0F">
              <w:rPr>
                <w:rFonts w:ascii="Cambria" w:eastAsia="Cambria" w:hAnsi="Cambria" w:cs="Cambria"/>
                <w:color w:val="538135"/>
                <w:lang w:val="en-IN"/>
              </w:rPr>
              <w:t xml:space="preserve"> is</w:t>
            </w:r>
            <w:r w:rsidRPr="74646E0F">
              <w:rPr>
                <w:rFonts w:ascii="Cambria" w:eastAsia="Cambria" w:hAnsi="Cambria" w:cs="Cambria"/>
                <w:color w:val="538135"/>
                <w:lang w:val="en-IN"/>
              </w:rPr>
              <w:t xml:space="preserve"> approv</w:t>
            </w:r>
            <w:r w:rsidR="74562662" w:rsidRPr="74646E0F">
              <w:rPr>
                <w:rFonts w:ascii="Cambria" w:eastAsia="Cambria" w:hAnsi="Cambria" w:cs="Cambria"/>
                <w:color w:val="538135"/>
                <w:lang w:val="en-IN"/>
              </w:rPr>
              <w:t>ed</w:t>
            </w:r>
            <w:r w:rsidRPr="74646E0F">
              <w:rPr>
                <w:rFonts w:ascii="Cambria" w:eastAsia="Cambria" w:hAnsi="Cambria" w:cs="Cambria"/>
                <w:color w:val="538135"/>
                <w:lang w:val="en-IN"/>
              </w:rPr>
              <w:t xml:space="preserve"> as per SOP-020</w:t>
            </w:r>
          </w:p>
        </w:tc>
        <w:tc>
          <w:tcPr>
            <w:tcW w:w="181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center"/>
          </w:tcPr>
          <w:p w14:paraId="4018C0D5" w14:textId="5EE92410" w:rsidR="7980176A" w:rsidRDefault="7980176A" w:rsidP="7980176A">
            <w:pPr>
              <w:jc w:val="center"/>
              <w:rPr>
                <w:rFonts w:ascii="Cambria" w:eastAsia="Cambria" w:hAnsi="Cambria" w:cs="Cambria"/>
                <w:color w:val="538135"/>
                <w:lang w:val="en-IN"/>
              </w:rPr>
            </w:pPr>
          </w:p>
        </w:tc>
        <w:tc>
          <w:tcPr>
            <w:tcW w:w="363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center"/>
          </w:tcPr>
          <w:p w14:paraId="1695823B" w14:textId="1D21E6BD" w:rsidR="7980176A" w:rsidRDefault="7980176A" w:rsidP="7980176A">
            <w:pPr>
              <w:spacing w:line="240" w:lineRule="auto"/>
              <w:jc w:val="center"/>
              <w:rPr>
                <w:rFonts w:ascii="Cambria" w:eastAsia="Cambria" w:hAnsi="Cambria" w:cs="Cambria"/>
                <w:color w:val="538135"/>
                <w:lang w:val="en-IN"/>
              </w:rPr>
            </w:pPr>
          </w:p>
        </w:tc>
      </w:tr>
      <w:tr w:rsidR="7980176A" w14:paraId="2B091336" w14:textId="77777777" w:rsidTr="48043C77">
        <w:trPr>
          <w:trHeight w:val="300"/>
        </w:trPr>
        <w:tc>
          <w:tcPr>
            <w:tcW w:w="181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EA871A4" w14:textId="77210CBA" w:rsidR="1580109B" w:rsidRDefault="1580109B" w:rsidP="7980176A">
            <w:pPr>
              <w:spacing w:line="240" w:lineRule="auto"/>
              <w:jc w:val="center"/>
              <w:rPr>
                <w:rFonts w:ascii="Times New Roman" w:eastAsia="Times New Roman" w:hAnsi="Times New Roman" w:cs="Times New Roman"/>
                <w:color w:val="538135"/>
                <w:sz w:val="20"/>
                <w:szCs w:val="20"/>
              </w:rPr>
            </w:pPr>
            <w:r>
              <w:rPr>
                <w:noProof/>
              </w:rPr>
              <w:drawing>
                <wp:inline distT="0" distB="0" distL="0" distR="0" wp14:anchorId="4A801039" wp14:editId="0CE4AED7">
                  <wp:extent cx="200025" cy="257175"/>
                  <wp:effectExtent l="0" t="0" r="0" b="0"/>
                  <wp:docPr id="401565130" name="Picture 401565130" descr="Sha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200025" cy="257175"/>
                          </a:xfrm>
                          <a:prstGeom prst="rect">
                            <a:avLst/>
                          </a:prstGeom>
                        </pic:spPr>
                      </pic:pic>
                    </a:graphicData>
                  </a:graphic>
                </wp:inline>
              </w:drawing>
            </w:r>
          </w:p>
        </w:tc>
        <w:tc>
          <w:tcPr>
            <w:tcW w:w="181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center"/>
          </w:tcPr>
          <w:p w14:paraId="307CED3E" w14:textId="2C815133" w:rsidR="7980176A" w:rsidRDefault="7980176A" w:rsidP="7980176A">
            <w:pPr>
              <w:jc w:val="center"/>
              <w:rPr>
                <w:rFonts w:ascii="Cambria" w:eastAsia="Cambria" w:hAnsi="Cambria" w:cs="Cambria"/>
                <w:color w:val="538135"/>
                <w:lang w:val="en-IN"/>
              </w:rPr>
            </w:pPr>
          </w:p>
        </w:tc>
        <w:tc>
          <w:tcPr>
            <w:tcW w:w="363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center"/>
          </w:tcPr>
          <w:p w14:paraId="33D268DA" w14:textId="44C97809" w:rsidR="7980176A" w:rsidRDefault="7980176A" w:rsidP="7980176A">
            <w:pPr>
              <w:spacing w:line="240" w:lineRule="auto"/>
              <w:jc w:val="center"/>
              <w:rPr>
                <w:rFonts w:ascii="Cambria" w:eastAsia="Cambria" w:hAnsi="Cambria" w:cs="Cambria"/>
                <w:color w:val="538135"/>
                <w:lang w:val="en-IN"/>
              </w:rPr>
            </w:pPr>
          </w:p>
        </w:tc>
      </w:tr>
      <w:tr w:rsidR="7980176A" w14:paraId="537EBC0C" w14:textId="77777777" w:rsidTr="48043C77">
        <w:trPr>
          <w:trHeight w:val="300"/>
        </w:trPr>
        <w:tc>
          <w:tcPr>
            <w:tcW w:w="181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D8C74FB" w14:textId="0ADF62AC" w:rsidR="1580109B" w:rsidRDefault="17F20286" w:rsidP="48043C77">
            <w:pPr>
              <w:spacing w:line="240" w:lineRule="auto"/>
              <w:jc w:val="center"/>
              <w:rPr>
                <w:rFonts w:ascii="Cambria" w:eastAsia="Cambria" w:hAnsi="Cambria" w:cs="Cambria"/>
                <w:color w:val="538135"/>
                <w:lang w:val="en-IN"/>
              </w:rPr>
            </w:pPr>
            <w:r w:rsidRPr="48043C77">
              <w:rPr>
                <w:rFonts w:ascii="Cambria" w:eastAsia="Cambria" w:hAnsi="Cambria" w:cs="Cambria"/>
                <w:color w:val="538135"/>
                <w:lang w:val="en-IN"/>
              </w:rPr>
              <w:t xml:space="preserve">QA maps </w:t>
            </w:r>
            <w:r w:rsidR="01E56921" w:rsidRPr="48043C77">
              <w:rPr>
                <w:rFonts w:ascii="Cambria" w:eastAsia="Cambria" w:hAnsi="Cambria" w:cs="Cambria"/>
                <w:color w:val="538135"/>
                <w:lang w:val="en-IN"/>
              </w:rPr>
              <w:t>services</w:t>
            </w:r>
            <w:r w:rsidRPr="48043C77">
              <w:rPr>
                <w:rFonts w:ascii="Cambria" w:eastAsia="Cambria" w:hAnsi="Cambria" w:cs="Cambria"/>
                <w:color w:val="538135"/>
                <w:lang w:val="en-IN"/>
              </w:rPr>
              <w:t xml:space="preserve"> to this </w:t>
            </w:r>
            <w:r w:rsidR="133F1F1B" w:rsidRPr="48043C77">
              <w:rPr>
                <w:rFonts w:ascii="Cambria" w:eastAsia="Cambria" w:hAnsi="Cambria" w:cs="Cambria"/>
                <w:color w:val="538135"/>
                <w:lang w:val="en-IN"/>
              </w:rPr>
              <w:t xml:space="preserve">approved </w:t>
            </w:r>
            <w:proofErr w:type="spellStart"/>
            <w:r w:rsidR="0FEEFC6B" w:rsidRPr="48043C77">
              <w:rPr>
                <w:rFonts w:ascii="Cambria" w:eastAsia="Cambria" w:hAnsi="Cambria" w:cs="Cambria"/>
                <w:color w:val="538135"/>
                <w:lang w:val="en-IN"/>
              </w:rPr>
              <w:t>GxP</w:t>
            </w:r>
            <w:proofErr w:type="spellEnd"/>
            <w:r w:rsidR="0FEEFC6B" w:rsidRPr="48043C77">
              <w:rPr>
                <w:rFonts w:ascii="Cambria" w:eastAsia="Cambria" w:hAnsi="Cambria" w:cs="Cambria"/>
                <w:color w:val="538135"/>
                <w:lang w:val="en-IN"/>
              </w:rPr>
              <w:t xml:space="preserve"> </w:t>
            </w:r>
            <w:r w:rsidRPr="48043C77">
              <w:rPr>
                <w:rFonts w:ascii="Cambria" w:eastAsia="Cambria" w:hAnsi="Cambria" w:cs="Cambria"/>
                <w:color w:val="538135"/>
                <w:lang w:val="en-IN"/>
              </w:rPr>
              <w:t>Vendor</w:t>
            </w:r>
          </w:p>
        </w:tc>
        <w:tc>
          <w:tcPr>
            <w:tcW w:w="181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AB1FB2A" w14:textId="17DB81FD" w:rsidR="03C9AA07" w:rsidRDefault="03C9AA07" w:rsidP="7980176A">
            <w:pPr>
              <w:jc w:val="center"/>
              <w:rPr>
                <w:rFonts w:ascii="Times New Roman" w:eastAsia="Times New Roman" w:hAnsi="Times New Roman" w:cs="Times New Roman"/>
                <w:color w:val="538135"/>
                <w:sz w:val="20"/>
                <w:szCs w:val="20"/>
              </w:rPr>
            </w:pPr>
            <w:r>
              <w:rPr>
                <w:noProof/>
              </w:rPr>
              <w:drawing>
                <wp:inline distT="0" distB="0" distL="0" distR="0" wp14:anchorId="268B864C" wp14:editId="594AC1D1">
                  <wp:extent cx="200025" cy="257175"/>
                  <wp:effectExtent l="30301" t="0" r="30301" b="0"/>
                  <wp:docPr id="6416317" name="Picture 6416317" descr="Sha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rot="16260000">
                            <a:off x="0" y="0"/>
                            <a:ext cx="200025" cy="257175"/>
                          </a:xfrm>
                          <a:prstGeom prst="rect">
                            <a:avLst/>
                          </a:prstGeom>
                        </pic:spPr>
                      </pic:pic>
                    </a:graphicData>
                  </a:graphic>
                </wp:inline>
              </w:drawing>
            </w:r>
          </w:p>
        </w:tc>
        <w:tc>
          <w:tcPr>
            <w:tcW w:w="363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C263BFA" w14:textId="06186418" w:rsidR="03C9AA07" w:rsidRDefault="4F462327" w:rsidP="48043C77">
            <w:pPr>
              <w:spacing w:line="240" w:lineRule="auto"/>
              <w:jc w:val="center"/>
              <w:rPr>
                <w:rFonts w:ascii="Cambria" w:eastAsia="Cambria" w:hAnsi="Cambria" w:cs="Cambria"/>
                <w:color w:val="538135"/>
                <w:lang w:val="en-IN"/>
              </w:rPr>
            </w:pPr>
            <w:r w:rsidRPr="48043C77">
              <w:rPr>
                <w:rFonts w:ascii="Cambria" w:eastAsia="Cambria" w:hAnsi="Cambria" w:cs="Cambria"/>
                <w:color w:val="538135"/>
                <w:lang w:val="en-IN"/>
              </w:rPr>
              <w:t>When</w:t>
            </w:r>
            <w:r w:rsidR="7615A4EA" w:rsidRPr="48043C77">
              <w:rPr>
                <w:rFonts w:ascii="Cambria" w:eastAsia="Cambria" w:hAnsi="Cambria" w:cs="Cambria"/>
                <w:color w:val="538135"/>
                <w:lang w:val="en-IN"/>
              </w:rPr>
              <w:t xml:space="preserve"> QA has mapped</w:t>
            </w:r>
            <w:r w:rsidRPr="48043C77">
              <w:rPr>
                <w:rFonts w:ascii="Cambria" w:eastAsia="Cambria" w:hAnsi="Cambria" w:cs="Cambria"/>
                <w:color w:val="538135"/>
                <w:lang w:val="en-IN"/>
              </w:rPr>
              <w:t xml:space="preserve"> </w:t>
            </w:r>
            <w:r w:rsidR="76F290AE" w:rsidRPr="48043C77">
              <w:rPr>
                <w:rFonts w:ascii="Cambria" w:eastAsia="Cambria" w:hAnsi="Cambria" w:cs="Cambria"/>
                <w:color w:val="538135"/>
                <w:lang w:val="en-IN"/>
              </w:rPr>
              <w:t>the s</w:t>
            </w:r>
            <w:r w:rsidR="656BB68E" w:rsidRPr="48043C77">
              <w:rPr>
                <w:rFonts w:ascii="Cambria" w:eastAsia="Cambria" w:hAnsi="Cambria" w:cs="Cambria"/>
                <w:color w:val="538135"/>
                <w:lang w:val="en-IN"/>
              </w:rPr>
              <w:t>ervice</w:t>
            </w:r>
            <w:r w:rsidR="76F290AE" w:rsidRPr="48043C77">
              <w:rPr>
                <w:rFonts w:ascii="Cambria" w:eastAsia="Cambria" w:hAnsi="Cambria" w:cs="Cambria"/>
                <w:color w:val="538135"/>
                <w:lang w:val="en-IN"/>
              </w:rPr>
              <w:t xml:space="preserve"> to the </w:t>
            </w:r>
            <w:proofErr w:type="spellStart"/>
            <w:r w:rsidRPr="48043C77">
              <w:rPr>
                <w:rFonts w:ascii="Cambria" w:eastAsia="Cambria" w:hAnsi="Cambria" w:cs="Cambria"/>
                <w:color w:val="538135"/>
                <w:lang w:val="en-IN"/>
              </w:rPr>
              <w:t>GxP</w:t>
            </w:r>
            <w:proofErr w:type="spellEnd"/>
            <w:r w:rsidRPr="48043C77">
              <w:rPr>
                <w:rFonts w:ascii="Cambria" w:eastAsia="Cambria" w:hAnsi="Cambria" w:cs="Cambria"/>
                <w:color w:val="538135"/>
                <w:lang w:val="en-IN"/>
              </w:rPr>
              <w:t xml:space="preserve"> vendor, Purchase Department can proceed with </w:t>
            </w:r>
            <w:r w:rsidR="51B639D5" w:rsidRPr="48043C77">
              <w:rPr>
                <w:rFonts w:ascii="Cambria" w:eastAsia="Cambria" w:hAnsi="Cambria" w:cs="Cambria"/>
                <w:color w:val="538135"/>
                <w:lang w:val="en-IN"/>
              </w:rPr>
              <w:t>purchase</w:t>
            </w:r>
          </w:p>
        </w:tc>
      </w:tr>
      <w:tr w:rsidR="7980176A" w14:paraId="78DD4625" w14:textId="77777777" w:rsidTr="48043C77">
        <w:trPr>
          <w:trHeight w:val="300"/>
        </w:trPr>
        <w:tc>
          <w:tcPr>
            <w:tcW w:w="181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9960F6A" w14:textId="484C133D" w:rsidR="5423F518" w:rsidRDefault="5423F518" w:rsidP="7980176A">
            <w:pPr>
              <w:spacing w:line="240" w:lineRule="auto"/>
              <w:jc w:val="center"/>
              <w:rPr>
                <w:rFonts w:ascii="Times New Roman" w:eastAsia="Times New Roman" w:hAnsi="Times New Roman" w:cs="Times New Roman"/>
                <w:color w:val="538135"/>
                <w:sz w:val="20"/>
                <w:szCs w:val="20"/>
              </w:rPr>
            </w:pPr>
            <w:r>
              <w:rPr>
                <w:noProof/>
              </w:rPr>
              <w:drawing>
                <wp:inline distT="0" distB="0" distL="0" distR="0" wp14:anchorId="6745481C" wp14:editId="5BF8F5C1">
                  <wp:extent cx="200025" cy="257175"/>
                  <wp:effectExtent l="0" t="0" r="0" b="0"/>
                  <wp:docPr id="2069542124" name="Picture 2069542124" descr="Sha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200025" cy="257175"/>
                          </a:xfrm>
                          <a:prstGeom prst="rect">
                            <a:avLst/>
                          </a:prstGeom>
                        </pic:spPr>
                      </pic:pic>
                    </a:graphicData>
                  </a:graphic>
                </wp:inline>
              </w:drawing>
            </w:r>
          </w:p>
        </w:tc>
        <w:tc>
          <w:tcPr>
            <w:tcW w:w="181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center"/>
          </w:tcPr>
          <w:p w14:paraId="1693557F" w14:textId="3A89C950" w:rsidR="7980176A" w:rsidRDefault="7980176A" w:rsidP="7980176A">
            <w:pPr>
              <w:jc w:val="center"/>
              <w:rPr>
                <w:rFonts w:ascii="Cambria" w:eastAsia="Cambria" w:hAnsi="Cambria" w:cs="Cambria"/>
                <w:color w:val="538135"/>
                <w:lang w:val="en-IN"/>
              </w:rPr>
            </w:pPr>
          </w:p>
        </w:tc>
        <w:tc>
          <w:tcPr>
            <w:tcW w:w="363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center"/>
          </w:tcPr>
          <w:p w14:paraId="5C1B4FD5" w14:textId="0F5F4EBF" w:rsidR="7980176A" w:rsidRDefault="7980176A" w:rsidP="7980176A">
            <w:pPr>
              <w:spacing w:line="240" w:lineRule="auto"/>
              <w:jc w:val="center"/>
              <w:rPr>
                <w:rFonts w:ascii="Cambria" w:eastAsia="Cambria" w:hAnsi="Cambria" w:cs="Cambria"/>
                <w:color w:val="538135"/>
                <w:lang w:val="en-IN"/>
              </w:rPr>
            </w:pPr>
          </w:p>
        </w:tc>
      </w:tr>
      <w:tr w:rsidR="7980176A" w14:paraId="6A99F01E" w14:textId="77777777" w:rsidTr="48043C77">
        <w:trPr>
          <w:trHeight w:val="300"/>
        </w:trPr>
        <w:tc>
          <w:tcPr>
            <w:tcW w:w="181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F60F0E5" w14:textId="52394D4F" w:rsidR="192F70AE" w:rsidRDefault="192F70AE" w:rsidP="7980176A">
            <w:pPr>
              <w:spacing w:after="0" w:line="240" w:lineRule="auto"/>
              <w:jc w:val="center"/>
              <w:rPr>
                <w:rFonts w:ascii="Cambria" w:eastAsia="Cambria" w:hAnsi="Cambria" w:cs="Cambria"/>
                <w:color w:val="538135"/>
                <w:lang w:val="en-IN"/>
              </w:rPr>
            </w:pPr>
            <w:r w:rsidRPr="7980176A">
              <w:rPr>
                <w:rFonts w:ascii="Cambria" w:eastAsia="Cambria" w:hAnsi="Cambria" w:cs="Cambria"/>
                <w:color w:val="538135"/>
                <w:lang w:val="en-IN"/>
              </w:rPr>
              <w:t>QA keeps a Vendor log</w:t>
            </w:r>
            <w:r w:rsidR="30C03214" w:rsidRPr="7980176A">
              <w:rPr>
                <w:rFonts w:ascii="Cambria" w:eastAsia="Cambria" w:hAnsi="Cambria" w:cs="Cambria"/>
                <w:color w:val="538135"/>
                <w:lang w:val="en-IN"/>
              </w:rPr>
              <w:t xml:space="preserve"> of </w:t>
            </w:r>
            <w:proofErr w:type="spellStart"/>
            <w:r w:rsidR="30C03214" w:rsidRPr="7980176A">
              <w:rPr>
                <w:rFonts w:ascii="Cambria" w:eastAsia="Cambria" w:hAnsi="Cambria" w:cs="Cambria"/>
                <w:color w:val="538135"/>
                <w:lang w:val="en-IN"/>
              </w:rPr>
              <w:t>GxP</w:t>
            </w:r>
            <w:proofErr w:type="spellEnd"/>
            <w:r w:rsidR="30C03214" w:rsidRPr="7980176A">
              <w:rPr>
                <w:rFonts w:ascii="Cambria" w:eastAsia="Cambria" w:hAnsi="Cambria" w:cs="Cambria"/>
                <w:color w:val="538135"/>
                <w:lang w:val="en-IN"/>
              </w:rPr>
              <w:t xml:space="preserve"> vendors</w:t>
            </w:r>
            <w:r w:rsidRPr="7980176A">
              <w:rPr>
                <w:rFonts w:ascii="Cambria" w:eastAsia="Cambria" w:hAnsi="Cambria" w:cs="Cambria"/>
                <w:color w:val="538135"/>
                <w:lang w:val="en-IN"/>
              </w:rPr>
              <w:t xml:space="preserve"> </w:t>
            </w:r>
            <w:r w:rsidR="4E4190D6" w:rsidRPr="7980176A">
              <w:rPr>
                <w:rFonts w:ascii="Cambria" w:eastAsia="Cambria" w:hAnsi="Cambria" w:cs="Cambria"/>
                <w:color w:val="538135"/>
                <w:lang w:val="en-IN"/>
              </w:rPr>
              <w:t>(se</w:t>
            </w:r>
            <w:r w:rsidR="516DBF7B" w:rsidRPr="7980176A">
              <w:rPr>
                <w:rFonts w:ascii="Cambria" w:eastAsia="Cambria" w:hAnsi="Cambria" w:cs="Cambria"/>
                <w:color w:val="538135"/>
                <w:lang w:val="en-IN"/>
              </w:rPr>
              <w:t>e</w:t>
            </w:r>
            <w:r w:rsidR="4E4190D6" w:rsidRPr="7980176A">
              <w:rPr>
                <w:rFonts w:ascii="Cambria" w:eastAsia="Cambria" w:hAnsi="Cambria" w:cs="Cambria"/>
                <w:color w:val="538135"/>
                <w:lang w:val="en-IN"/>
              </w:rPr>
              <w:t xml:space="preserve"> ELB-</w:t>
            </w:r>
            <w:r w:rsidR="7023952D" w:rsidRPr="7980176A">
              <w:rPr>
                <w:rFonts w:ascii="Cambria" w:eastAsia="Cambria" w:hAnsi="Cambria" w:cs="Cambria"/>
                <w:color w:val="538135"/>
                <w:lang w:val="en-IN"/>
              </w:rPr>
              <w:t>023</w:t>
            </w:r>
            <w:r w:rsidR="33DA1993" w:rsidRPr="7980176A">
              <w:rPr>
                <w:rFonts w:ascii="Cambria" w:eastAsia="Cambria" w:hAnsi="Cambria" w:cs="Cambria"/>
                <w:color w:val="538135"/>
                <w:lang w:val="en-IN"/>
              </w:rPr>
              <w:t xml:space="preserve"> for what needs to be included in this log</w:t>
            </w:r>
            <w:r w:rsidR="0CB05B18" w:rsidRPr="7980176A">
              <w:rPr>
                <w:rFonts w:ascii="Cambria" w:eastAsia="Cambria" w:hAnsi="Cambria" w:cs="Cambria"/>
                <w:color w:val="538135"/>
                <w:lang w:val="en-IN"/>
              </w:rPr>
              <w:t>)</w:t>
            </w:r>
          </w:p>
          <w:p w14:paraId="20181FA6" w14:textId="789996F7" w:rsidR="7980176A" w:rsidRDefault="7980176A" w:rsidP="7980176A">
            <w:pPr>
              <w:spacing w:line="240" w:lineRule="auto"/>
              <w:jc w:val="center"/>
            </w:pPr>
          </w:p>
        </w:tc>
        <w:tc>
          <w:tcPr>
            <w:tcW w:w="181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center"/>
          </w:tcPr>
          <w:p w14:paraId="6787AE7C" w14:textId="4A2DB618" w:rsidR="7980176A" w:rsidRDefault="7980176A" w:rsidP="7980176A">
            <w:pPr>
              <w:jc w:val="center"/>
              <w:rPr>
                <w:rFonts w:ascii="Cambria" w:eastAsia="Cambria" w:hAnsi="Cambria" w:cs="Cambria"/>
                <w:color w:val="538135"/>
                <w:lang w:val="en-IN"/>
              </w:rPr>
            </w:pPr>
          </w:p>
        </w:tc>
        <w:tc>
          <w:tcPr>
            <w:tcW w:w="363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center"/>
          </w:tcPr>
          <w:p w14:paraId="40CAA67B" w14:textId="702E850F" w:rsidR="7980176A" w:rsidRDefault="7980176A" w:rsidP="7980176A">
            <w:pPr>
              <w:spacing w:line="240" w:lineRule="auto"/>
              <w:jc w:val="center"/>
              <w:rPr>
                <w:rFonts w:ascii="Cambria" w:eastAsia="Cambria" w:hAnsi="Cambria" w:cs="Cambria"/>
                <w:color w:val="538135"/>
                <w:lang w:val="en-IN"/>
              </w:rPr>
            </w:pPr>
          </w:p>
        </w:tc>
      </w:tr>
    </w:tbl>
    <w:p w14:paraId="0F75AE9F" w14:textId="03DDAC14" w:rsidR="7980176A" w:rsidRDefault="7980176A" w:rsidP="7980176A"/>
    <w:sectPr w:rsidR="7980176A">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Carina Flodin" w:date="2024-03-25T14:31:00Z" w:initials="CF">
    <w:p w14:paraId="6B8B4DF8" w14:textId="1C439C40" w:rsidR="48043C77" w:rsidRDefault="48043C77">
      <w:r>
        <w:t>I don't think we discussed if Services also needed to be categorised as GxP or non-GxP. It may be too complicated? Please, let me know if you have any comments on this.</w:t>
      </w:r>
      <w:r>
        <w:annotationRef/>
      </w:r>
    </w:p>
  </w:comment>
  <w:comment w:id="1" w:author="Aaron Dooley" w:date="2024-03-25T17:38:00Z" w:initials="AD">
    <w:p w14:paraId="577602E8" w14:textId="6E2E5EAB" w:rsidR="445E5858" w:rsidRDefault="445E5858">
      <w:r>
        <w:t>It's a good question Carina. I think we can leave it out and just approve service providers we know will perform GxP services. Any others that start performing GxP services are usually found through QA approving EBM's (which I assume will still happen in PLGMP). There is also the issue of ensuring (for approved service providers) that any service performed falls within the approved scope of supply. This could be checked during periodic reviews of service providers (going through all services performed during the review period).</w:t>
      </w:r>
      <w: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B8B4DF8" w15:done="0"/>
  <w15:commentEx w15:paraId="577602E8" w15:paraIdParent="6B8B4DF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59CA86C3" w16cex:dateUtc="2024-03-25T03:31:00Z"/>
  <w16cex:commentExtensible w16cex:durableId="648BFE9A" w16cex:dateUtc="2024-03-25T06: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B8B4DF8" w16cid:durableId="59CA86C3"/>
  <w16cid:commentId w16cid:paraId="577602E8" w16cid:durableId="648BFE9A"/>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ptos Display">
    <w:panose1 w:val="020B0004020202020204"/>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4578AA"/>
    <w:multiLevelType w:val="hybridMultilevel"/>
    <w:tmpl w:val="FFFFFFFF"/>
    <w:lvl w:ilvl="0" w:tplc="9E56C518">
      <w:start w:val="1"/>
      <w:numFmt w:val="bullet"/>
      <w:lvlText w:val="-"/>
      <w:lvlJc w:val="left"/>
      <w:pPr>
        <w:ind w:left="720" w:hanging="360"/>
      </w:pPr>
      <w:rPr>
        <w:rFonts w:ascii="Aptos" w:hAnsi="Aptos" w:hint="default"/>
      </w:rPr>
    </w:lvl>
    <w:lvl w:ilvl="1" w:tplc="9E08442A">
      <w:start w:val="1"/>
      <w:numFmt w:val="bullet"/>
      <w:lvlText w:val="o"/>
      <w:lvlJc w:val="left"/>
      <w:pPr>
        <w:ind w:left="1440" w:hanging="360"/>
      </w:pPr>
      <w:rPr>
        <w:rFonts w:ascii="Courier New" w:hAnsi="Courier New" w:hint="default"/>
      </w:rPr>
    </w:lvl>
    <w:lvl w:ilvl="2" w:tplc="5BD8C7BA">
      <w:start w:val="1"/>
      <w:numFmt w:val="bullet"/>
      <w:lvlText w:val=""/>
      <w:lvlJc w:val="left"/>
      <w:pPr>
        <w:ind w:left="2160" w:hanging="360"/>
      </w:pPr>
      <w:rPr>
        <w:rFonts w:ascii="Wingdings" w:hAnsi="Wingdings" w:hint="default"/>
      </w:rPr>
    </w:lvl>
    <w:lvl w:ilvl="3" w:tplc="A75C2684">
      <w:start w:val="1"/>
      <w:numFmt w:val="bullet"/>
      <w:lvlText w:val=""/>
      <w:lvlJc w:val="left"/>
      <w:pPr>
        <w:ind w:left="2880" w:hanging="360"/>
      </w:pPr>
      <w:rPr>
        <w:rFonts w:ascii="Symbol" w:hAnsi="Symbol" w:hint="default"/>
      </w:rPr>
    </w:lvl>
    <w:lvl w:ilvl="4" w:tplc="23BC48DE">
      <w:start w:val="1"/>
      <w:numFmt w:val="bullet"/>
      <w:lvlText w:val="o"/>
      <w:lvlJc w:val="left"/>
      <w:pPr>
        <w:ind w:left="3600" w:hanging="360"/>
      </w:pPr>
      <w:rPr>
        <w:rFonts w:ascii="Courier New" w:hAnsi="Courier New" w:hint="default"/>
      </w:rPr>
    </w:lvl>
    <w:lvl w:ilvl="5" w:tplc="CED2F574">
      <w:start w:val="1"/>
      <w:numFmt w:val="bullet"/>
      <w:lvlText w:val=""/>
      <w:lvlJc w:val="left"/>
      <w:pPr>
        <w:ind w:left="4320" w:hanging="360"/>
      </w:pPr>
      <w:rPr>
        <w:rFonts w:ascii="Wingdings" w:hAnsi="Wingdings" w:hint="default"/>
      </w:rPr>
    </w:lvl>
    <w:lvl w:ilvl="6" w:tplc="012E9812">
      <w:start w:val="1"/>
      <w:numFmt w:val="bullet"/>
      <w:lvlText w:val=""/>
      <w:lvlJc w:val="left"/>
      <w:pPr>
        <w:ind w:left="5040" w:hanging="360"/>
      </w:pPr>
      <w:rPr>
        <w:rFonts w:ascii="Symbol" w:hAnsi="Symbol" w:hint="default"/>
      </w:rPr>
    </w:lvl>
    <w:lvl w:ilvl="7" w:tplc="503EAFDE">
      <w:start w:val="1"/>
      <w:numFmt w:val="bullet"/>
      <w:lvlText w:val="o"/>
      <w:lvlJc w:val="left"/>
      <w:pPr>
        <w:ind w:left="5760" w:hanging="360"/>
      </w:pPr>
      <w:rPr>
        <w:rFonts w:ascii="Courier New" w:hAnsi="Courier New" w:hint="default"/>
      </w:rPr>
    </w:lvl>
    <w:lvl w:ilvl="8" w:tplc="87C03F7A">
      <w:start w:val="1"/>
      <w:numFmt w:val="bullet"/>
      <w:lvlText w:val=""/>
      <w:lvlJc w:val="left"/>
      <w:pPr>
        <w:ind w:left="6480" w:hanging="360"/>
      </w:pPr>
      <w:rPr>
        <w:rFonts w:ascii="Wingdings" w:hAnsi="Wingdings" w:hint="default"/>
      </w:rPr>
    </w:lvl>
  </w:abstractNum>
  <w:abstractNum w:abstractNumId="1" w15:restartNumberingAfterBreak="0">
    <w:nsid w:val="4292C6F6"/>
    <w:multiLevelType w:val="hybridMultilevel"/>
    <w:tmpl w:val="FFFFFFFF"/>
    <w:lvl w:ilvl="0" w:tplc="5DBA25A4">
      <w:start w:val="1"/>
      <w:numFmt w:val="bullet"/>
      <w:lvlText w:val="-"/>
      <w:lvlJc w:val="left"/>
      <w:pPr>
        <w:ind w:left="720" w:hanging="360"/>
      </w:pPr>
      <w:rPr>
        <w:rFonts w:ascii="Aptos" w:hAnsi="Aptos" w:hint="default"/>
      </w:rPr>
    </w:lvl>
    <w:lvl w:ilvl="1" w:tplc="7D324776">
      <w:start w:val="1"/>
      <w:numFmt w:val="bullet"/>
      <w:lvlText w:val="o"/>
      <w:lvlJc w:val="left"/>
      <w:pPr>
        <w:ind w:left="1440" w:hanging="360"/>
      </w:pPr>
      <w:rPr>
        <w:rFonts w:ascii="Courier New" w:hAnsi="Courier New" w:hint="default"/>
      </w:rPr>
    </w:lvl>
    <w:lvl w:ilvl="2" w:tplc="FFB45FE8">
      <w:start w:val="1"/>
      <w:numFmt w:val="bullet"/>
      <w:lvlText w:val=""/>
      <w:lvlJc w:val="left"/>
      <w:pPr>
        <w:ind w:left="2160" w:hanging="360"/>
      </w:pPr>
      <w:rPr>
        <w:rFonts w:ascii="Wingdings" w:hAnsi="Wingdings" w:hint="default"/>
      </w:rPr>
    </w:lvl>
    <w:lvl w:ilvl="3" w:tplc="D766F7DE">
      <w:start w:val="1"/>
      <w:numFmt w:val="bullet"/>
      <w:lvlText w:val=""/>
      <w:lvlJc w:val="left"/>
      <w:pPr>
        <w:ind w:left="2880" w:hanging="360"/>
      </w:pPr>
      <w:rPr>
        <w:rFonts w:ascii="Symbol" w:hAnsi="Symbol" w:hint="default"/>
      </w:rPr>
    </w:lvl>
    <w:lvl w:ilvl="4" w:tplc="AF781FAC">
      <w:start w:val="1"/>
      <w:numFmt w:val="bullet"/>
      <w:lvlText w:val="o"/>
      <w:lvlJc w:val="left"/>
      <w:pPr>
        <w:ind w:left="3600" w:hanging="360"/>
      </w:pPr>
      <w:rPr>
        <w:rFonts w:ascii="Courier New" w:hAnsi="Courier New" w:hint="default"/>
      </w:rPr>
    </w:lvl>
    <w:lvl w:ilvl="5" w:tplc="5754BD04">
      <w:start w:val="1"/>
      <w:numFmt w:val="bullet"/>
      <w:lvlText w:val=""/>
      <w:lvlJc w:val="left"/>
      <w:pPr>
        <w:ind w:left="4320" w:hanging="360"/>
      </w:pPr>
      <w:rPr>
        <w:rFonts w:ascii="Wingdings" w:hAnsi="Wingdings" w:hint="default"/>
      </w:rPr>
    </w:lvl>
    <w:lvl w:ilvl="6" w:tplc="D9BEFCB2">
      <w:start w:val="1"/>
      <w:numFmt w:val="bullet"/>
      <w:lvlText w:val=""/>
      <w:lvlJc w:val="left"/>
      <w:pPr>
        <w:ind w:left="5040" w:hanging="360"/>
      </w:pPr>
      <w:rPr>
        <w:rFonts w:ascii="Symbol" w:hAnsi="Symbol" w:hint="default"/>
      </w:rPr>
    </w:lvl>
    <w:lvl w:ilvl="7" w:tplc="C682F3FC">
      <w:start w:val="1"/>
      <w:numFmt w:val="bullet"/>
      <w:lvlText w:val="o"/>
      <w:lvlJc w:val="left"/>
      <w:pPr>
        <w:ind w:left="5760" w:hanging="360"/>
      </w:pPr>
      <w:rPr>
        <w:rFonts w:ascii="Courier New" w:hAnsi="Courier New" w:hint="default"/>
      </w:rPr>
    </w:lvl>
    <w:lvl w:ilvl="8" w:tplc="A4C820BC">
      <w:start w:val="1"/>
      <w:numFmt w:val="bullet"/>
      <w:lvlText w:val=""/>
      <w:lvlJc w:val="left"/>
      <w:pPr>
        <w:ind w:left="6480" w:hanging="360"/>
      </w:pPr>
      <w:rPr>
        <w:rFonts w:ascii="Wingdings" w:hAnsi="Wingdings" w:hint="default"/>
      </w:rPr>
    </w:lvl>
  </w:abstractNum>
  <w:abstractNum w:abstractNumId="2" w15:restartNumberingAfterBreak="0">
    <w:nsid w:val="69A854DC"/>
    <w:multiLevelType w:val="hybridMultilevel"/>
    <w:tmpl w:val="FFFFFFFF"/>
    <w:lvl w:ilvl="0" w:tplc="D5C0ACE2">
      <w:start w:val="1"/>
      <w:numFmt w:val="decimal"/>
      <w:lvlText w:val="%1."/>
      <w:lvlJc w:val="left"/>
      <w:pPr>
        <w:ind w:left="720" w:hanging="360"/>
      </w:pPr>
    </w:lvl>
    <w:lvl w:ilvl="1" w:tplc="FC003C3E">
      <w:start w:val="1"/>
      <w:numFmt w:val="lowerLetter"/>
      <w:lvlText w:val="%2."/>
      <w:lvlJc w:val="left"/>
      <w:pPr>
        <w:ind w:left="1440" w:hanging="360"/>
      </w:pPr>
    </w:lvl>
    <w:lvl w:ilvl="2" w:tplc="79425D8E">
      <w:start w:val="1"/>
      <w:numFmt w:val="lowerRoman"/>
      <w:lvlText w:val="%3."/>
      <w:lvlJc w:val="right"/>
      <w:pPr>
        <w:ind w:left="2160" w:hanging="180"/>
      </w:pPr>
    </w:lvl>
    <w:lvl w:ilvl="3" w:tplc="9258A2EC">
      <w:start w:val="1"/>
      <w:numFmt w:val="decimal"/>
      <w:lvlText w:val="%4."/>
      <w:lvlJc w:val="left"/>
      <w:pPr>
        <w:ind w:left="2880" w:hanging="360"/>
      </w:pPr>
    </w:lvl>
    <w:lvl w:ilvl="4" w:tplc="DB8C4776">
      <w:start w:val="1"/>
      <w:numFmt w:val="lowerLetter"/>
      <w:lvlText w:val="%5."/>
      <w:lvlJc w:val="left"/>
      <w:pPr>
        <w:ind w:left="3600" w:hanging="360"/>
      </w:pPr>
    </w:lvl>
    <w:lvl w:ilvl="5" w:tplc="E2C8C9CA">
      <w:start w:val="1"/>
      <w:numFmt w:val="lowerRoman"/>
      <w:lvlText w:val="%6."/>
      <w:lvlJc w:val="right"/>
      <w:pPr>
        <w:ind w:left="4320" w:hanging="180"/>
      </w:pPr>
    </w:lvl>
    <w:lvl w:ilvl="6" w:tplc="C0AAD02A">
      <w:start w:val="1"/>
      <w:numFmt w:val="decimal"/>
      <w:lvlText w:val="%7."/>
      <w:lvlJc w:val="left"/>
      <w:pPr>
        <w:ind w:left="5040" w:hanging="360"/>
      </w:pPr>
    </w:lvl>
    <w:lvl w:ilvl="7" w:tplc="6930BFC4">
      <w:start w:val="1"/>
      <w:numFmt w:val="lowerLetter"/>
      <w:lvlText w:val="%8."/>
      <w:lvlJc w:val="left"/>
      <w:pPr>
        <w:ind w:left="5760" w:hanging="360"/>
      </w:pPr>
    </w:lvl>
    <w:lvl w:ilvl="8" w:tplc="5DA63450">
      <w:start w:val="1"/>
      <w:numFmt w:val="lowerRoman"/>
      <w:lvlText w:val="%9."/>
      <w:lvlJc w:val="right"/>
      <w:pPr>
        <w:ind w:left="6480" w:hanging="180"/>
      </w:pPr>
    </w:lvl>
  </w:abstractNum>
  <w:num w:numId="1" w16cid:durableId="440491298">
    <w:abstractNumId w:val="2"/>
  </w:num>
  <w:num w:numId="2" w16cid:durableId="1456676896">
    <w:abstractNumId w:val="1"/>
  </w:num>
  <w:num w:numId="3" w16cid:durableId="8646132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arina Flodin">
    <w15:presenceInfo w15:providerId="AD" w15:userId="S::carina.f@arnapharma.com::9946b4b4-9109-4fed-834c-8e9e5c9a9fdb"/>
  </w15:person>
  <w15:person w15:author="Aaron Dooley">
    <w15:presenceInfo w15:providerId="AD" w15:userId="S::aaron.d@arnapharma.com::299cfef9-27ae-410b-84f7-aeff17c9360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proofState w:spelling="clean" w:grammar="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D241DA2"/>
    <w:rsid w:val="000D456B"/>
    <w:rsid w:val="00690C4C"/>
    <w:rsid w:val="00C66830"/>
    <w:rsid w:val="010F8C84"/>
    <w:rsid w:val="0123EE89"/>
    <w:rsid w:val="01E56921"/>
    <w:rsid w:val="01E8BAC1"/>
    <w:rsid w:val="03C9AA07"/>
    <w:rsid w:val="05D5CD0D"/>
    <w:rsid w:val="06D9DBF2"/>
    <w:rsid w:val="0793300D"/>
    <w:rsid w:val="07F35DD8"/>
    <w:rsid w:val="0819DCA2"/>
    <w:rsid w:val="092F006E"/>
    <w:rsid w:val="0AFC3740"/>
    <w:rsid w:val="0C273DC8"/>
    <w:rsid w:val="0C367C80"/>
    <w:rsid w:val="0CB05B18"/>
    <w:rsid w:val="0D2832F9"/>
    <w:rsid w:val="0E027191"/>
    <w:rsid w:val="0E9709AD"/>
    <w:rsid w:val="0FEEFC6B"/>
    <w:rsid w:val="12CC24E6"/>
    <w:rsid w:val="133F1F1B"/>
    <w:rsid w:val="144AC310"/>
    <w:rsid w:val="14754C68"/>
    <w:rsid w:val="1580109B"/>
    <w:rsid w:val="15B1D5C6"/>
    <w:rsid w:val="16298A69"/>
    <w:rsid w:val="16579600"/>
    <w:rsid w:val="179264D1"/>
    <w:rsid w:val="17955B1C"/>
    <w:rsid w:val="17F20286"/>
    <w:rsid w:val="182BC469"/>
    <w:rsid w:val="182F143D"/>
    <w:rsid w:val="18524D78"/>
    <w:rsid w:val="1893BDA3"/>
    <w:rsid w:val="192F70AE"/>
    <w:rsid w:val="19452438"/>
    <w:rsid w:val="19BBAC30"/>
    <w:rsid w:val="1A2F8E04"/>
    <w:rsid w:val="1B3B4198"/>
    <w:rsid w:val="1B577C91"/>
    <w:rsid w:val="1B6F8EB4"/>
    <w:rsid w:val="1CD2B23E"/>
    <w:rsid w:val="20889E9F"/>
    <w:rsid w:val="21158857"/>
    <w:rsid w:val="213DE0EC"/>
    <w:rsid w:val="22B59A30"/>
    <w:rsid w:val="22D9B14D"/>
    <w:rsid w:val="2465D231"/>
    <w:rsid w:val="24AFAAA0"/>
    <w:rsid w:val="24BFE982"/>
    <w:rsid w:val="2553D6AE"/>
    <w:rsid w:val="262F2B33"/>
    <w:rsid w:val="263FC7D1"/>
    <w:rsid w:val="26DC00C8"/>
    <w:rsid w:val="27CAFB94"/>
    <w:rsid w:val="2869ED87"/>
    <w:rsid w:val="29B5EE0C"/>
    <w:rsid w:val="2B029C56"/>
    <w:rsid w:val="2B4C967C"/>
    <w:rsid w:val="2B6FA331"/>
    <w:rsid w:val="2C38C682"/>
    <w:rsid w:val="2C419F8D"/>
    <w:rsid w:val="2C89C5BB"/>
    <w:rsid w:val="2D61EC22"/>
    <w:rsid w:val="2D6D835A"/>
    <w:rsid w:val="2D70A978"/>
    <w:rsid w:val="2DD496E3"/>
    <w:rsid w:val="2E21104B"/>
    <w:rsid w:val="2E22ADF0"/>
    <w:rsid w:val="2EA743F3"/>
    <w:rsid w:val="2EC2189D"/>
    <w:rsid w:val="30C03214"/>
    <w:rsid w:val="3168C25F"/>
    <w:rsid w:val="33DA1993"/>
    <w:rsid w:val="35EB5CB7"/>
    <w:rsid w:val="375B49F2"/>
    <w:rsid w:val="39F1E420"/>
    <w:rsid w:val="3BBF9F99"/>
    <w:rsid w:val="3BC7D7AB"/>
    <w:rsid w:val="3BD69BEC"/>
    <w:rsid w:val="3C1335D3"/>
    <w:rsid w:val="3C46153D"/>
    <w:rsid w:val="3D4F7879"/>
    <w:rsid w:val="3D7151F3"/>
    <w:rsid w:val="3DA16EE8"/>
    <w:rsid w:val="3DA24E3B"/>
    <w:rsid w:val="3EDEC40C"/>
    <w:rsid w:val="4019A4FD"/>
    <w:rsid w:val="445E5858"/>
    <w:rsid w:val="449D5E8E"/>
    <w:rsid w:val="46198BC1"/>
    <w:rsid w:val="466A130D"/>
    <w:rsid w:val="468ED28C"/>
    <w:rsid w:val="48043C77"/>
    <w:rsid w:val="48195986"/>
    <w:rsid w:val="4854AC85"/>
    <w:rsid w:val="488D3256"/>
    <w:rsid w:val="496A4EE4"/>
    <w:rsid w:val="4B0619EB"/>
    <w:rsid w:val="4BB42B99"/>
    <w:rsid w:val="4BECBFB6"/>
    <w:rsid w:val="4C6CDE27"/>
    <w:rsid w:val="4C6E9368"/>
    <w:rsid w:val="4D241DA2"/>
    <w:rsid w:val="4D26804F"/>
    <w:rsid w:val="4D2C4B99"/>
    <w:rsid w:val="4E4190D6"/>
    <w:rsid w:val="4E89C97B"/>
    <w:rsid w:val="4EB789DE"/>
    <w:rsid w:val="4EC51337"/>
    <w:rsid w:val="4F221015"/>
    <w:rsid w:val="4F246078"/>
    <w:rsid w:val="4F45CC87"/>
    <w:rsid w:val="4F462327"/>
    <w:rsid w:val="4F85B6A3"/>
    <w:rsid w:val="51116BD9"/>
    <w:rsid w:val="516DBF7B"/>
    <w:rsid w:val="517DF385"/>
    <w:rsid w:val="51B639D5"/>
    <w:rsid w:val="51B7D5C0"/>
    <w:rsid w:val="5207021B"/>
    <w:rsid w:val="53E8EEFA"/>
    <w:rsid w:val="5423F518"/>
    <w:rsid w:val="551E2042"/>
    <w:rsid w:val="55CBFC47"/>
    <w:rsid w:val="562DE53E"/>
    <w:rsid w:val="566E3C92"/>
    <w:rsid w:val="56D0B1B9"/>
    <w:rsid w:val="56D2EB4B"/>
    <w:rsid w:val="57D0A725"/>
    <w:rsid w:val="580A0CF3"/>
    <w:rsid w:val="584A4EE7"/>
    <w:rsid w:val="5A48CB56"/>
    <w:rsid w:val="5B59EE89"/>
    <w:rsid w:val="5BA8C13E"/>
    <w:rsid w:val="5BF6FAA3"/>
    <w:rsid w:val="5BFE09B0"/>
    <w:rsid w:val="5CD65812"/>
    <w:rsid w:val="5CECE8A5"/>
    <w:rsid w:val="5D553110"/>
    <w:rsid w:val="5EE06200"/>
    <w:rsid w:val="609965BF"/>
    <w:rsid w:val="61B0EF39"/>
    <w:rsid w:val="62495662"/>
    <w:rsid w:val="656BB68E"/>
    <w:rsid w:val="66FAE854"/>
    <w:rsid w:val="67ADD7F0"/>
    <w:rsid w:val="68D1EB58"/>
    <w:rsid w:val="69BC011E"/>
    <w:rsid w:val="69D4A678"/>
    <w:rsid w:val="6A328916"/>
    <w:rsid w:val="6B5913D8"/>
    <w:rsid w:val="6B6B9C64"/>
    <w:rsid w:val="6B79B060"/>
    <w:rsid w:val="6C15942B"/>
    <w:rsid w:val="6C94E13C"/>
    <w:rsid w:val="6E705692"/>
    <w:rsid w:val="6E942CC3"/>
    <w:rsid w:val="7023952D"/>
    <w:rsid w:val="702AE1CE"/>
    <w:rsid w:val="712CFBFE"/>
    <w:rsid w:val="717E4488"/>
    <w:rsid w:val="71B4BDD2"/>
    <w:rsid w:val="71CF0089"/>
    <w:rsid w:val="74077DB3"/>
    <w:rsid w:val="74562662"/>
    <w:rsid w:val="74646E0F"/>
    <w:rsid w:val="7522E126"/>
    <w:rsid w:val="7615A4EA"/>
    <w:rsid w:val="76F290AE"/>
    <w:rsid w:val="77809E37"/>
    <w:rsid w:val="77B4E25A"/>
    <w:rsid w:val="77C02357"/>
    <w:rsid w:val="783E420D"/>
    <w:rsid w:val="7980176A"/>
    <w:rsid w:val="7991716F"/>
    <w:rsid w:val="7A1DDA6D"/>
    <w:rsid w:val="7A5D68FA"/>
    <w:rsid w:val="7B1F6D43"/>
    <w:rsid w:val="7B45BE1F"/>
    <w:rsid w:val="7B79793C"/>
    <w:rsid w:val="7BE491D7"/>
    <w:rsid w:val="7DE51FAE"/>
    <w:rsid w:val="7F7672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241DA2"/>
  <w15:chartTrackingRefBased/>
  <w15:docId w15:val="{3DF17B61-8DCB-419D-AB85-40125802F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ListParagraph">
    <w:name w:val="List Paragraph"/>
    <w:basedOn w:val="Normal"/>
    <w:uiPriority w:val="34"/>
    <w:qFormat/>
    <w:pPr>
      <w:ind w:left="720"/>
      <w:contextualSpacing/>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 /><Relationship Id="rId13" Type="http://schemas.openxmlformats.org/officeDocument/2006/relationships/fontTable" Target="fontTable.xml" /><Relationship Id="rId3" Type="http://schemas.openxmlformats.org/officeDocument/2006/relationships/customXml" Target="../customXml/item3.xml" /><Relationship Id="rId7" Type="http://schemas.openxmlformats.org/officeDocument/2006/relationships/webSettings" Target="webSettings.xml" /><Relationship Id="rId12" Type="http://schemas.openxmlformats.org/officeDocument/2006/relationships/image" Target="media/image1.png" /><Relationship Id="rId2" Type="http://schemas.openxmlformats.org/officeDocument/2006/relationships/customXml" Target="../customXml/item2.xml" /><Relationship Id="rId1" Type="http://schemas.openxmlformats.org/officeDocument/2006/relationships/customXml" Target="../customXml/item1.xml" /><Relationship Id="rId6" Type="http://schemas.openxmlformats.org/officeDocument/2006/relationships/settings" Target="settings.xml" /><Relationship Id="rId11" Type="http://schemas.microsoft.com/office/2018/08/relationships/commentsExtensible" Target="commentsExtensible.xml" /><Relationship Id="rId5" Type="http://schemas.openxmlformats.org/officeDocument/2006/relationships/styles" Target="styles.xml" /><Relationship Id="rId15" Type="http://schemas.openxmlformats.org/officeDocument/2006/relationships/theme" Target="theme/theme1.xml" /><Relationship Id="rId10" Type="http://schemas.microsoft.com/office/2016/09/relationships/commentsIds" Target="commentsIds.xml" /><Relationship Id="rId4" Type="http://schemas.openxmlformats.org/officeDocument/2006/relationships/numbering" Target="numbering.xml" /><Relationship Id="rId9" Type="http://schemas.microsoft.com/office/2011/relationships/commentsExtended" Target="commentsExtended.xml" /><Relationship Id="rId14" Type="http://schemas.microsoft.com/office/2011/relationships/people" Target="people.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A0CFC32C8197848BC7E0808AE892704" ma:contentTypeVersion="14" ma:contentTypeDescription="Create a new document." ma:contentTypeScope="" ma:versionID="53840590d24084a03de48936f10b4800">
  <xsd:schema xmlns:xsd="http://www.w3.org/2001/XMLSchema" xmlns:xs="http://www.w3.org/2001/XMLSchema" xmlns:p="http://schemas.microsoft.com/office/2006/metadata/properties" xmlns:ns2="79c84bf0-05d2-4bb7-8ed1-f5f0137ff1dd" xmlns:ns3="974fe1b4-532b-43db-89cf-49174a6333ad" targetNamespace="http://schemas.microsoft.com/office/2006/metadata/properties" ma:root="true" ma:fieldsID="a9cd4431ebbb413f9a24939aaab84e49" ns2:_="" ns3:_="">
    <xsd:import namespace="79c84bf0-05d2-4bb7-8ed1-f5f0137ff1dd"/>
    <xsd:import namespace="974fe1b4-532b-43db-89cf-49174a6333a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c84bf0-05d2-4bb7-8ed1-f5f0137ff1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abdfc04-c02b-451f-bc3d-42ee9fcb46f8"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4fe1b4-532b-43db-89cf-49174a6333ad"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2d3f843e-f95d-4124-92b1-4df065fe44a7}" ma:internalName="TaxCatchAll" ma:showField="CatchAllData" ma:web="974fe1b4-532b-43db-89cf-49174a6333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74fe1b4-532b-43db-89cf-49174a6333ad" xsi:nil="true"/>
    <lcf76f155ced4ddcb4097134ff3c332f xmlns="79c84bf0-05d2-4bb7-8ed1-f5f0137ff1dd">
      <Terms xmlns="http://schemas.microsoft.com/office/infopath/2007/PartnerControls"/>
    </lcf76f155ced4ddcb4097134ff3c332f>
    <SharedWithUsers xmlns="974fe1b4-532b-43db-89cf-49174a6333ad">
      <UserInfo>
        <DisplayName>Aaron Dooley</DisplayName>
        <AccountId>19</AccountId>
        <AccountType/>
      </UserInfo>
      <UserInfo>
        <DisplayName>Eddie Vaiciurgis</DisplayName>
        <AccountId>18</AccountId>
        <AccountType/>
      </UserInfo>
      <UserInfo>
        <DisplayName>Sekhar Meka</DisplayName>
        <AccountId>13</AccountId>
        <AccountType/>
      </UserInfo>
      <UserInfo>
        <DisplayName>James Crawford</DisplayName>
        <AccountId>63</AccountId>
        <AccountType/>
      </UserInfo>
      <UserInfo>
        <DisplayName>Ram Iyer</DisplayName>
        <AccountId>61</AccountId>
        <AccountType/>
      </UserInfo>
      <UserInfo>
        <DisplayName>Mamatha Gulhane</DisplayName>
        <AccountId>14</AccountId>
        <AccountType/>
      </UserInfo>
      <UserInfo>
        <DisplayName>Carina Flodin</DisplayName>
        <AccountId>25</AccountId>
        <AccountType/>
      </UserInfo>
    </SharedWithUsers>
    <MediaLengthInSeconds xmlns="79c84bf0-05d2-4bb7-8ed1-f5f0137ff1d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03A4D46-D07C-4832-A9F1-91983A3350BE}">
  <ds:schemaRefs>
    <ds:schemaRef ds:uri="http://schemas.microsoft.com/office/2006/metadata/contentType"/>
    <ds:schemaRef ds:uri="http://schemas.microsoft.com/office/2006/metadata/properties/metaAttributes"/>
    <ds:schemaRef ds:uri="http://www.w3.org/2000/xmlns/"/>
    <ds:schemaRef ds:uri="http://www.w3.org/2001/XMLSchema"/>
    <ds:schemaRef ds:uri="79c84bf0-05d2-4bb7-8ed1-f5f0137ff1dd"/>
    <ds:schemaRef ds:uri="974fe1b4-532b-43db-89cf-49174a6333ad"/>
  </ds:schemaRefs>
</ds:datastoreItem>
</file>

<file path=customXml/itemProps2.xml><?xml version="1.0" encoding="utf-8"?>
<ds:datastoreItem xmlns:ds="http://schemas.openxmlformats.org/officeDocument/2006/customXml" ds:itemID="{F6313DAA-0319-4F87-9B4A-7B6E6050F08C}">
  <ds:schemaRefs>
    <ds:schemaRef ds:uri="http://schemas.microsoft.com/office/2006/metadata/properties"/>
    <ds:schemaRef ds:uri="http://www.w3.org/2000/xmlns/"/>
    <ds:schemaRef ds:uri="974fe1b4-532b-43db-89cf-49174a6333ad"/>
    <ds:schemaRef ds:uri="http://www.w3.org/2001/XMLSchema-instance"/>
    <ds:schemaRef ds:uri="79c84bf0-05d2-4bb7-8ed1-f5f0137ff1dd"/>
    <ds:schemaRef ds:uri="http://schemas.microsoft.com/office/infopath/2007/PartnerControls"/>
  </ds:schemaRefs>
</ds:datastoreItem>
</file>

<file path=customXml/itemProps3.xml><?xml version="1.0" encoding="utf-8"?>
<ds:datastoreItem xmlns:ds="http://schemas.openxmlformats.org/officeDocument/2006/customXml" ds:itemID="{C05B3333-CE13-4C55-95A3-0ED35636582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237</Words>
  <Characters>1357</Characters>
  <Application>Microsoft Office Word</Application>
  <DocSecurity>0</DocSecurity>
  <Lines>11</Lines>
  <Paragraphs>3</Paragraphs>
  <ScaleCrop>false</ScaleCrop>
  <Company/>
  <LinksUpToDate>false</LinksUpToDate>
  <CharactersWithSpaces>1591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Carina Flodin</dc:creator>
  <cp:keywords/>
  <dc:description/>
  <cp:lastModifiedBy>Gul LGX</cp:lastModifiedBy>
  <cp:revision>2</cp:revision>
  <dcterms:created xsi:type="dcterms:W3CDTF">2024-03-25T08:34:00Z</dcterms:created>
  <dcterms:modified xsi:type="dcterms:W3CDTF">2024-03-25T08:34:00Z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0x010100AA0CFC32C8197848BC7E0808AE892704</vt:lpwstr>
  </property>
  <property fmtid="{D5CDD505-2E9C-101B-9397-08002B2CF9AE}" pid="3" name="Order">
    <vt:r8>2200</vt:r8>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_ExtendedDescription">
    <vt:lpwstr/>
  </property>
  <property fmtid="{D5CDD505-2E9C-101B-9397-08002B2CF9AE}" pid="8" name="TriggerFlowInfo">
    <vt:lpwstr/>
  </property>
  <property fmtid="{D5CDD505-2E9C-101B-9397-08002B2CF9AE}" pid="9" name="MediaServiceImageTags">
    <vt:lpwstr/>
  </property>
</Properties>
</file>